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129"/>
      </w:tblGrid>
      <w:tr w:rsidR="00737584" w:rsidTr="00CA5B36">
        <w:trPr>
          <w:trHeight w:val="879"/>
        </w:trPr>
        <w:tc>
          <w:tcPr>
            <w:tcW w:w="9356" w:type="dxa"/>
          </w:tcPr>
          <w:p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Bullers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Wood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School</w:t>
            </w:r>
          </w:p>
          <w:p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Sixth Form</w:t>
            </w:r>
          </w:p>
          <w:p w:rsidR="00CA5B36" w:rsidRPr="0086291A" w:rsidRDefault="00CA5B36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</w:pPr>
            <w:r w:rsidRPr="0086291A"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  <w:t xml:space="preserve">Be  part  of  our  success  story </w:t>
            </w:r>
          </w:p>
        </w:tc>
        <w:tc>
          <w:tcPr>
            <w:tcW w:w="1129" w:type="dxa"/>
          </w:tcPr>
          <w:p w:rsidR="00737584" w:rsidRDefault="00737584">
            <w:pPr>
              <w:spacing w:after="160" w:line="259" w:lineRule="auto"/>
              <w:rPr>
                <w:b/>
                <w:bCs/>
                <w:sz w:val="30"/>
                <w:szCs w:val="30"/>
                <w14:ligatures w14:val="none"/>
              </w:rPr>
            </w:pPr>
          </w:p>
          <w:p w:rsidR="00737584" w:rsidRDefault="00737584" w:rsidP="00737584">
            <w:pPr>
              <w:widowControl w:val="0"/>
              <w:spacing w:after="0" w:line="240" w:lineRule="auto"/>
              <w:contextualSpacing/>
              <w:rPr>
                <w:b/>
                <w:bCs/>
                <w:sz w:val="30"/>
                <w:szCs w:val="30"/>
                <w14:ligatures w14:val="none"/>
              </w:rPr>
            </w:pPr>
          </w:p>
        </w:tc>
      </w:tr>
    </w:tbl>
    <w:p w:rsidR="003A6470" w:rsidRPr="00CA5B36" w:rsidRDefault="00C70832" w:rsidP="00CA5B36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noProof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14C774F2" wp14:editId="42DE30F8">
            <wp:simplePos x="0" y="0"/>
            <wp:positionH relativeFrom="column">
              <wp:posOffset>6039485</wp:posOffset>
            </wp:positionH>
            <wp:positionV relativeFrom="page">
              <wp:posOffset>314325</wp:posOffset>
            </wp:positionV>
            <wp:extent cx="600075" cy="862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llers wood logo high quality no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B36">
        <w:rPr>
          <w:b/>
          <w:bCs/>
          <w:noProof/>
          <w:sz w:val="30"/>
          <w:szCs w:val="30"/>
          <w14:ligatures w14:val="none"/>
        </w:rPr>
        <w:drawing>
          <wp:anchor distT="0" distB="0" distL="114300" distR="114300" simplePos="0" relativeHeight="251660288" behindDoc="1" locked="0" layoutInCell="1" allowOverlap="1" wp14:anchorId="151944BD" wp14:editId="056ED09E">
            <wp:simplePos x="0" y="0"/>
            <wp:positionH relativeFrom="column">
              <wp:posOffset>-37465</wp:posOffset>
            </wp:positionH>
            <wp:positionV relativeFrom="paragraph">
              <wp:posOffset>48260</wp:posOffset>
            </wp:positionV>
            <wp:extent cx="6677025" cy="8382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584">
        <w:rPr>
          <w:b/>
          <w:bCs/>
          <w:sz w:val="30"/>
          <w:szCs w:val="30"/>
          <w14:ligatures w14:val="none"/>
        </w:rPr>
        <w:t xml:space="preserve">                                             </w:t>
      </w:r>
      <w:r w:rsidR="00CA5B36">
        <w:rPr>
          <w:b/>
          <w:bCs/>
          <w:sz w:val="30"/>
          <w:szCs w:val="30"/>
          <w14:ligatures w14:val="none"/>
        </w:rPr>
        <w:t xml:space="preserve">                              </w:t>
      </w:r>
    </w:p>
    <w:p w:rsidR="003A6470" w:rsidRDefault="003A6470" w:rsidP="00737584">
      <w:pPr>
        <w:widowControl w:val="0"/>
        <w:rPr>
          <w:b/>
          <w:bCs/>
          <w:sz w:val="30"/>
          <w:szCs w:val="30"/>
          <w14:ligatures w14:val="none"/>
        </w:rPr>
      </w:pPr>
    </w:p>
    <w:p w:rsidR="00CA5B36" w:rsidRDefault="00CA5B36" w:rsidP="00737584">
      <w:pPr>
        <w:widowControl w:val="0"/>
        <w:rPr>
          <w:b/>
          <w:bCs/>
          <w:sz w:val="30"/>
          <w:szCs w:val="30"/>
          <w:u w:val="single"/>
          <w14:ligatures w14:val="none"/>
        </w:rPr>
      </w:pPr>
    </w:p>
    <w:p w:rsidR="00CA5B36" w:rsidRPr="002914D1" w:rsidRDefault="00CA5B36" w:rsidP="00737584">
      <w:pPr>
        <w:widowControl w:val="0"/>
        <w:rPr>
          <w:b/>
          <w:bCs/>
          <w:sz w:val="12"/>
          <w:szCs w:val="12"/>
          <w:u w:val="single"/>
          <w14:ligatures w14:val="none"/>
        </w:rPr>
      </w:pPr>
    </w:p>
    <w:p w:rsidR="005D4FCB" w:rsidRPr="005D4FCB" w:rsidRDefault="005D4FCB" w:rsidP="00D82EC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</w:pPr>
      <w:r w:rsidRPr="005D4FCB">
        <w:rPr>
          <w:rFonts w:asciiTheme="minorHAnsi" w:eastAsiaTheme="minorHAnsi" w:hAnsiTheme="minorHAnsi" w:cs="Arial"/>
          <w:b/>
          <w:bCs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  <w:t>Business</w:t>
      </w:r>
    </w:p>
    <w:p w:rsidR="0035317C" w:rsidRPr="005D4FCB" w:rsidRDefault="00D82EC5" w:rsidP="00D82EC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</w:pPr>
      <w:r w:rsidRPr="005D4FCB">
        <w:rPr>
          <w:rFonts w:asciiTheme="minorHAnsi" w:eastAsiaTheme="minorHAnsi" w:hAnsiTheme="minorHAnsi" w:cs="Arial"/>
          <w:b/>
          <w:bCs/>
          <w:color w:val="auto"/>
          <w:kern w:val="0"/>
          <w:sz w:val="28"/>
          <w:szCs w:val="28"/>
          <w:u w:val="single"/>
          <w:lang w:eastAsia="en-US"/>
          <w14:ligatures w14:val="none"/>
          <w14:cntxtAlts w14:val="0"/>
        </w:rPr>
        <w:t>Pearson BTEC Level 3 National Extended Certificate in Business</w:t>
      </w:r>
    </w:p>
    <w:p w:rsidR="00D82EC5" w:rsidRPr="005D4FCB" w:rsidRDefault="00D82EC5" w:rsidP="00D82EC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auto"/>
          <w:kern w:val="0"/>
          <w:sz w:val="22"/>
          <w:lang w:eastAsia="en-US"/>
          <w14:ligatures w14:val="none"/>
          <w14:cntxtAlts w14:val="0"/>
        </w:rPr>
      </w:pPr>
    </w:p>
    <w:p w:rsidR="00737584" w:rsidRPr="00FB4CDF" w:rsidRDefault="00737584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  <w14:ligatures w14:val="none"/>
        </w:rPr>
      </w:pPr>
      <w:r w:rsidRPr="00FB4CDF">
        <w:rPr>
          <w:rFonts w:asciiTheme="minorHAnsi" w:hAnsiTheme="minorHAnsi" w:cs="Arial"/>
          <w:b/>
          <w:bCs/>
          <w:sz w:val="24"/>
          <w:szCs w:val="24"/>
          <w14:ligatures w14:val="none"/>
        </w:rPr>
        <w:t>Why study this subject?</w:t>
      </w:r>
    </w:p>
    <w:p w:rsidR="00D82EC5" w:rsidRPr="00FB4CDF" w:rsidRDefault="00D82EC5" w:rsidP="00FB4C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</w:pPr>
      <w:r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 xml:space="preserve">BTEC Nationals in Business offer a flexible range of qualifications that </w:t>
      </w:r>
      <w:r w:rsidR="00F14E28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>can be studied alongside other L</w:t>
      </w:r>
      <w:r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 xml:space="preserve">evel 3 qualifications such as A </w:t>
      </w:r>
      <w:r w:rsidR="00416376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>L</w:t>
      </w:r>
      <w:r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 xml:space="preserve">evels or alongside other BTEC Nationals </w:t>
      </w:r>
      <w:r w:rsidR="0041001C"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 xml:space="preserve">in other subject areas, </w:t>
      </w:r>
      <w:r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>as part of a larger programme of study</w:t>
      </w:r>
      <w:r w:rsidR="005D4FCB"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>.</w:t>
      </w:r>
      <w:r w:rsid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 xml:space="preserve">  </w:t>
      </w:r>
      <w:r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>Applied General qualifications are for students progressing</w:t>
      </w:r>
      <w:r w:rsidR="00722392"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 xml:space="preserve"> to their career through higher </w:t>
      </w:r>
      <w:r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>level study, although they could go directly into employment at the end of the course.</w:t>
      </w:r>
      <w:r w:rsidR="0041001C"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 xml:space="preserve"> Applied courses offer students a chance</w:t>
      </w:r>
      <w:bookmarkStart w:id="0" w:name="_GoBack"/>
      <w:bookmarkEnd w:id="0"/>
      <w:r w:rsidR="0041001C"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 xml:space="preserve"> to study this qualification using both assignments as well as external examinations.</w:t>
      </w:r>
    </w:p>
    <w:p w:rsidR="00722392" w:rsidRPr="00FB4CDF" w:rsidRDefault="00722392" w:rsidP="00FB4C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</w:pPr>
    </w:p>
    <w:p w:rsidR="00F14E28" w:rsidRDefault="00D82EC5" w:rsidP="00F14E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</w:pPr>
      <w:r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>Students will have the opportunity to:</w:t>
      </w:r>
    </w:p>
    <w:p w:rsidR="00F14E28" w:rsidRPr="00F14E28" w:rsidRDefault="00F14E28" w:rsidP="00F14E28">
      <w:pPr>
        <w:pStyle w:val="ListParagraph"/>
        <w:numPr>
          <w:ilvl w:val="0"/>
          <w:numId w:val="6"/>
        </w:numPr>
        <w:autoSpaceDE w:val="0"/>
        <w:adjustRightInd w:val="0"/>
        <w:spacing w:after="0"/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bCs/>
          <w:sz w:val="24"/>
          <w:szCs w:val="24"/>
        </w:rPr>
        <w:t>C</w:t>
      </w:r>
      <w:r w:rsidR="00D82EC5" w:rsidRPr="00F14E28">
        <w:rPr>
          <w:rFonts w:asciiTheme="minorHAnsi" w:eastAsiaTheme="minorHAnsi" w:hAnsiTheme="minorHAnsi" w:cs="Arial"/>
          <w:bCs/>
          <w:sz w:val="24"/>
          <w:szCs w:val="24"/>
        </w:rPr>
        <w:t xml:space="preserve">hoose between different qualification sizes </w:t>
      </w:r>
      <w:r w:rsidR="00D82EC5" w:rsidRPr="00F14E28">
        <w:rPr>
          <w:rFonts w:asciiTheme="minorHAnsi" w:eastAsiaTheme="minorHAnsi" w:hAnsiTheme="minorHAnsi" w:cs="Arial"/>
          <w:sz w:val="24"/>
          <w:szCs w:val="24"/>
        </w:rPr>
        <w:t>so they h</w:t>
      </w:r>
      <w:r w:rsidR="00722392" w:rsidRPr="00F14E28">
        <w:rPr>
          <w:rFonts w:asciiTheme="minorHAnsi" w:eastAsiaTheme="minorHAnsi" w:hAnsiTheme="minorHAnsi" w:cs="Arial"/>
          <w:sz w:val="24"/>
          <w:szCs w:val="24"/>
        </w:rPr>
        <w:t xml:space="preserve">ave the option to study </w:t>
      </w:r>
      <w:r w:rsidR="00D82EC5" w:rsidRPr="00F14E28">
        <w:rPr>
          <w:rFonts w:asciiTheme="minorHAnsi" w:eastAsiaTheme="minorHAnsi" w:hAnsiTheme="minorHAnsi" w:cs="Arial"/>
          <w:sz w:val="24"/>
          <w:szCs w:val="24"/>
        </w:rPr>
        <w:t xml:space="preserve">full or part–time or </w:t>
      </w:r>
      <w:r w:rsidR="00FB4CDF" w:rsidRPr="00F14E28">
        <w:rPr>
          <w:rFonts w:asciiTheme="minorHAnsi" w:eastAsiaTheme="minorHAnsi" w:hAnsiTheme="minorHAnsi" w:cs="Arial"/>
          <w:sz w:val="24"/>
          <w:szCs w:val="24"/>
        </w:rPr>
        <w:t xml:space="preserve">  </w:t>
      </w:r>
      <w:r w:rsidR="00D82EC5" w:rsidRPr="00F14E28">
        <w:rPr>
          <w:rFonts w:asciiTheme="minorHAnsi" w:eastAsiaTheme="minorHAnsi" w:hAnsiTheme="minorHAnsi" w:cs="Arial"/>
          <w:sz w:val="24"/>
          <w:szCs w:val="24"/>
        </w:rPr>
        <w:t>take a BTEC alongside other level 3 qualifications such as A levels</w:t>
      </w:r>
    </w:p>
    <w:p w:rsidR="00D82EC5" w:rsidRPr="00F14E28" w:rsidRDefault="00F14E28" w:rsidP="00F14E28">
      <w:pPr>
        <w:pStyle w:val="ListParagraph"/>
        <w:numPr>
          <w:ilvl w:val="0"/>
          <w:numId w:val="6"/>
        </w:numPr>
        <w:autoSpaceDE w:val="0"/>
        <w:adjustRightInd w:val="0"/>
        <w:spacing w:after="0"/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bCs/>
          <w:sz w:val="24"/>
          <w:szCs w:val="24"/>
        </w:rPr>
        <w:t>D</w:t>
      </w:r>
      <w:r w:rsidR="00D82EC5" w:rsidRPr="00F14E28">
        <w:rPr>
          <w:rFonts w:asciiTheme="minorHAnsi" w:eastAsiaTheme="minorHAnsi" w:hAnsiTheme="minorHAnsi" w:cs="Arial"/>
          <w:bCs/>
          <w:sz w:val="24"/>
          <w:szCs w:val="24"/>
        </w:rPr>
        <w:t>evelop transferable knowledge and skills</w:t>
      </w:r>
      <w:r w:rsidR="00D82EC5" w:rsidRPr="00F14E28">
        <w:rPr>
          <w:rFonts w:asciiTheme="minorHAnsi" w:eastAsiaTheme="minorHAnsi" w:hAnsiTheme="minorHAnsi" w:cs="Arial"/>
          <w:sz w:val="24"/>
          <w:szCs w:val="24"/>
        </w:rPr>
        <w:t>.</w:t>
      </w:r>
    </w:p>
    <w:p w:rsidR="00D82EC5" w:rsidRPr="00FB4CDF" w:rsidRDefault="00D82EC5" w:rsidP="00FB4C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</w:pPr>
    </w:p>
    <w:p w:rsidR="00AA70A5" w:rsidRPr="00FB4CDF" w:rsidRDefault="00D82EC5" w:rsidP="00FB4C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>All BTEC courses attract UCAS points and are widely recognised by universities and employers.</w:t>
      </w:r>
      <w:r w:rsidR="00AA70A5" w:rsidRPr="00FB4CDF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AA70A5" w:rsidRPr="00FB4CDF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This course is equivalent in size to one A Level.</w:t>
      </w:r>
    </w:p>
    <w:p w:rsidR="004F2886" w:rsidRPr="00FB4CDF" w:rsidRDefault="004F2886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  <w14:ligatures w14:val="none"/>
        </w:rPr>
      </w:pPr>
    </w:p>
    <w:p w:rsidR="00737584" w:rsidRPr="00FB4CDF" w:rsidRDefault="00737584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  <w14:ligatures w14:val="none"/>
        </w:rPr>
      </w:pPr>
      <w:r w:rsidRPr="00FB4CDF">
        <w:rPr>
          <w:rFonts w:asciiTheme="minorHAnsi" w:hAnsiTheme="minorHAnsi" w:cs="Arial"/>
          <w:b/>
          <w:bCs/>
          <w:sz w:val="24"/>
          <w:szCs w:val="24"/>
          <w14:ligatures w14:val="none"/>
        </w:rPr>
        <w:t>Entry Requirements</w:t>
      </w:r>
    </w:p>
    <w:p w:rsidR="007944AF" w:rsidRPr="00FB4CDF" w:rsidRDefault="00F14E28" w:rsidP="00FB4C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>Students need to gain f</w:t>
      </w:r>
      <w:r w:rsidR="005D4FCB" w:rsidRPr="00FB4CDF">
        <w:rPr>
          <w:rFonts w:asciiTheme="minorHAnsi" w:eastAsiaTheme="minorHAnsi" w:hAnsiTheme="minorHAnsi" w:cs="Arial"/>
          <w:kern w:val="0"/>
          <w:sz w:val="24"/>
          <w:szCs w:val="24"/>
          <w:lang w:eastAsia="en-US"/>
          <w14:ligatures w14:val="none"/>
          <w14:cntxtAlts w14:val="0"/>
        </w:rPr>
        <w:t>ive A*-C grade GCSEs including English Language and Mathematics at grade 4.</w:t>
      </w:r>
    </w:p>
    <w:p w:rsidR="005D4FCB" w:rsidRPr="00FB4CDF" w:rsidRDefault="005D4FCB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  <w14:ligatures w14:val="none"/>
        </w:rPr>
      </w:pPr>
    </w:p>
    <w:p w:rsidR="007944AF" w:rsidRPr="00FB4CDF" w:rsidRDefault="00737584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  <w14:ligatures w14:val="none"/>
        </w:rPr>
      </w:pPr>
      <w:r w:rsidRPr="00FB4CDF">
        <w:rPr>
          <w:rFonts w:asciiTheme="minorHAnsi" w:hAnsiTheme="minorHAnsi" w:cs="Arial"/>
          <w:b/>
          <w:bCs/>
          <w:sz w:val="24"/>
          <w:szCs w:val="24"/>
          <w14:ligatures w14:val="none"/>
        </w:rPr>
        <w:t>Content</w:t>
      </w:r>
    </w:p>
    <w:p w:rsidR="00A130A6" w:rsidRPr="00FB4CDF" w:rsidRDefault="00D82EC5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kern w:val="3"/>
          <w:sz w:val="24"/>
          <w:szCs w:val="24"/>
        </w:rPr>
      </w:pPr>
      <w:r w:rsidRPr="00FB4CDF">
        <w:rPr>
          <w:rFonts w:asciiTheme="minorHAnsi" w:hAnsiTheme="minorHAnsi" w:cs="Arial"/>
          <w:kern w:val="3"/>
          <w:sz w:val="24"/>
          <w:szCs w:val="24"/>
        </w:rPr>
        <w:t>Units studied include:</w:t>
      </w:r>
    </w:p>
    <w:p w:rsidR="00D82EC5" w:rsidRPr="00FB4CDF" w:rsidRDefault="00D82EC5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kern w:val="3"/>
          <w:sz w:val="24"/>
          <w:szCs w:val="24"/>
        </w:rPr>
      </w:pPr>
      <w:r w:rsidRPr="00FB4CDF">
        <w:rPr>
          <w:rFonts w:asciiTheme="minorHAnsi" w:hAnsiTheme="minorHAnsi" w:cs="Arial"/>
          <w:kern w:val="3"/>
          <w:sz w:val="24"/>
          <w:szCs w:val="24"/>
        </w:rPr>
        <w:t>Unit 1 Exploring Business</w:t>
      </w:r>
    </w:p>
    <w:p w:rsidR="00D82EC5" w:rsidRPr="00FB4CDF" w:rsidRDefault="00D82EC5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kern w:val="3"/>
          <w:sz w:val="24"/>
          <w:szCs w:val="24"/>
        </w:rPr>
      </w:pPr>
      <w:r w:rsidRPr="00FB4CDF">
        <w:rPr>
          <w:rFonts w:asciiTheme="minorHAnsi" w:hAnsiTheme="minorHAnsi" w:cs="Arial"/>
          <w:kern w:val="3"/>
          <w:sz w:val="24"/>
          <w:szCs w:val="24"/>
        </w:rPr>
        <w:t>Unit 2 Developing a Marketing campaign</w:t>
      </w:r>
    </w:p>
    <w:p w:rsidR="00D82EC5" w:rsidRPr="00FB4CDF" w:rsidRDefault="00D82EC5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kern w:val="3"/>
          <w:sz w:val="24"/>
          <w:szCs w:val="24"/>
        </w:rPr>
      </w:pPr>
      <w:r w:rsidRPr="00FB4CDF">
        <w:rPr>
          <w:rFonts w:asciiTheme="minorHAnsi" w:hAnsiTheme="minorHAnsi" w:cs="Arial"/>
          <w:kern w:val="3"/>
          <w:sz w:val="24"/>
          <w:szCs w:val="24"/>
        </w:rPr>
        <w:t>Unit 3 Personal and Business Finance</w:t>
      </w:r>
    </w:p>
    <w:p w:rsidR="00D82EC5" w:rsidRPr="00FB4CDF" w:rsidRDefault="00D82EC5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kern w:val="3"/>
          <w:sz w:val="24"/>
          <w:szCs w:val="24"/>
        </w:rPr>
      </w:pPr>
      <w:r w:rsidRPr="00FB4CDF">
        <w:rPr>
          <w:rFonts w:asciiTheme="minorHAnsi" w:hAnsiTheme="minorHAnsi" w:cs="Arial"/>
          <w:kern w:val="3"/>
          <w:sz w:val="24"/>
          <w:szCs w:val="24"/>
        </w:rPr>
        <w:t>Unit 8 Recruitment and Selection Process</w:t>
      </w:r>
    </w:p>
    <w:p w:rsidR="00D82EC5" w:rsidRPr="00FB4CDF" w:rsidRDefault="00D82EC5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kern w:val="3"/>
          <w:sz w:val="24"/>
          <w:szCs w:val="24"/>
        </w:rPr>
      </w:pPr>
      <w:r w:rsidRPr="00FB4CDF">
        <w:rPr>
          <w:rFonts w:asciiTheme="minorHAnsi" w:hAnsiTheme="minorHAnsi" w:cs="Arial"/>
          <w:kern w:val="3"/>
          <w:sz w:val="24"/>
          <w:szCs w:val="24"/>
        </w:rPr>
        <w:t>Unit 14 Investigating Customer Service</w:t>
      </w:r>
    </w:p>
    <w:p w:rsidR="005B1F84" w:rsidRPr="00FB4CDF" w:rsidRDefault="005B1F84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kern w:val="3"/>
          <w:sz w:val="24"/>
          <w:szCs w:val="24"/>
        </w:rPr>
      </w:pPr>
    </w:p>
    <w:p w:rsidR="00737584" w:rsidRPr="00FB4CDF" w:rsidRDefault="00737584" w:rsidP="00FB4CDF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  <w14:ligatures w14:val="none"/>
        </w:rPr>
      </w:pPr>
      <w:r w:rsidRPr="00FB4CDF">
        <w:rPr>
          <w:rFonts w:asciiTheme="minorHAnsi" w:hAnsiTheme="minorHAnsi" w:cs="Arial"/>
          <w:b/>
          <w:bCs/>
          <w:sz w:val="24"/>
          <w:szCs w:val="24"/>
          <w14:ligatures w14:val="none"/>
        </w:rPr>
        <w:t>Assessment</w:t>
      </w:r>
    </w:p>
    <w:p w:rsidR="00D82EC5" w:rsidRPr="00FB4CDF" w:rsidRDefault="00D82EC5" w:rsidP="00FB4C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FB4CDF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You will study 4 units of which 3 are mandatory and 2 are external.</w:t>
      </w:r>
    </w:p>
    <w:p w:rsidR="005B1F84" w:rsidRPr="00FB4CDF" w:rsidRDefault="005B1F84" w:rsidP="00FB4CDF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2606A1" w:rsidRPr="00FB4CDF" w:rsidRDefault="002606A1" w:rsidP="00FB4CDF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FB4CDF">
        <w:rPr>
          <w:rFonts w:asciiTheme="minorHAnsi" w:hAnsiTheme="minorHAnsi" w:cs="Arial"/>
          <w:b/>
          <w:sz w:val="24"/>
          <w:szCs w:val="24"/>
        </w:rPr>
        <w:t>Future courses and possible careers</w:t>
      </w:r>
    </w:p>
    <w:p w:rsidR="00F14E28" w:rsidRDefault="00D82EC5" w:rsidP="00F14E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FB4CDF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 the BTEC National units there are opportunities during the teaching and learning phase to give</w:t>
      </w:r>
      <w:r w:rsidR="00FB4CDF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FB4CDF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learners practice in developing employability skills. Where employability skills are referred to in this</w:t>
      </w:r>
      <w:r w:rsidR="00FB4CDF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FB4CDF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specification, we are generally referring to skills in the following three main categories:</w:t>
      </w:r>
    </w:p>
    <w:p w:rsidR="00F14E28" w:rsidRPr="00F14E28" w:rsidRDefault="00D82EC5" w:rsidP="00F14E28">
      <w:pPr>
        <w:pStyle w:val="ListParagraph"/>
        <w:numPr>
          <w:ilvl w:val="0"/>
          <w:numId w:val="7"/>
        </w:numPr>
        <w:autoSpaceDE w:val="0"/>
        <w:adjustRightInd w:val="0"/>
        <w:spacing w:after="0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F14E28">
        <w:rPr>
          <w:rFonts w:asciiTheme="minorHAnsi" w:eastAsiaTheme="minorHAnsi" w:hAnsiTheme="minorHAnsi" w:cs="Arial"/>
          <w:b/>
          <w:bCs/>
          <w:sz w:val="24"/>
          <w:szCs w:val="24"/>
        </w:rPr>
        <w:t>cognitive and problem-solving skills</w:t>
      </w:r>
      <w:r w:rsidRPr="00F14E28">
        <w:rPr>
          <w:rFonts w:asciiTheme="minorHAnsi" w:eastAsiaTheme="minorHAnsi" w:hAnsiTheme="minorHAnsi" w:cs="Arial"/>
          <w:sz w:val="24"/>
          <w:szCs w:val="24"/>
        </w:rPr>
        <w:t>: use critical thinking, approach non-routine</w:t>
      </w:r>
      <w:r w:rsidR="00FB4CDF" w:rsidRPr="00F14E28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F14E28">
        <w:rPr>
          <w:rFonts w:asciiTheme="minorHAnsi" w:eastAsiaTheme="minorHAnsi" w:hAnsiTheme="minorHAnsi" w:cs="Arial"/>
          <w:sz w:val="24"/>
          <w:szCs w:val="24"/>
        </w:rPr>
        <w:t>problems applying expert and creative solutions, use systems and technology</w:t>
      </w:r>
    </w:p>
    <w:p w:rsidR="00F14E28" w:rsidRPr="00F14E28" w:rsidRDefault="00D82EC5" w:rsidP="00F14E28">
      <w:pPr>
        <w:pStyle w:val="ListParagraph"/>
        <w:numPr>
          <w:ilvl w:val="0"/>
          <w:numId w:val="7"/>
        </w:numPr>
        <w:autoSpaceDE w:val="0"/>
        <w:adjustRightInd w:val="0"/>
        <w:spacing w:after="0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F14E28">
        <w:rPr>
          <w:rFonts w:asciiTheme="minorHAnsi" w:eastAsiaTheme="minorHAnsi" w:hAnsiTheme="minorHAnsi" w:cs="Arial"/>
          <w:b/>
          <w:bCs/>
          <w:sz w:val="24"/>
          <w:szCs w:val="24"/>
        </w:rPr>
        <w:t>intrapersonal skills</w:t>
      </w:r>
      <w:r w:rsidRPr="00F14E28">
        <w:rPr>
          <w:rFonts w:asciiTheme="minorHAnsi" w:eastAsiaTheme="minorHAnsi" w:hAnsiTheme="minorHAnsi" w:cs="Arial"/>
          <w:sz w:val="24"/>
          <w:szCs w:val="24"/>
        </w:rPr>
        <w:t>: communicating, working collaboratively, negotiating and</w:t>
      </w:r>
      <w:r w:rsidR="00FB4CDF" w:rsidRPr="00F14E28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F14E28">
        <w:rPr>
          <w:rFonts w:asciiTheme="minorHAnsi" w:eastAsiaTheme="minorHAnsi" w:hAnsiTheme="minorHAnsi" w:cs="Arial"/>
          <w:sz w:val="24"/>
          <w:szCs w:val="24"/>
        </w:rPr>
        <w:t>influencing, self-presentation</w:t>
      </w:r>
    </w:p>
    <w:p w:rsidR="00D82EC5" w:rsidRPr="00F14E28" w:rsidRDefault="00D82EC5" w:rsidP="00F14E28">
      <w:pPr>
        <w:pStyle w:val="ListParagraph"/>
        <w:numPr>
          <w:ilvl w:val="0"/>
          <w:numId w:val="7"/>
        </w:numPr>
        <w:autoSpaceDE w:val="0"/>
        <w:adjustRightInd w:val="0"/>
        <w:spacing w:after="0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F14E28">
        <w:rPr>
          <w:rFonts w:asciiTheme="minorHAnsi" w:eastAsiaTheme="minorHAnsi" w:hAnsiTheme="minorHAnsi" w:cs="Arial"/>
          <w:b/>
          <w:bCs/>
          <w:sz w:val="24"/>
          <w:szCs w:val="24"/>
        </w:rPr>
        <w:lastRenderedPageBreak/>
        <w:t xml:space="preserve">interpersonal skills: </w:t>
      </w:r>
      <w:r w:rsidRPr="00F14E28">
        <w:rPr>
          <w:rFonts w:asciiTheme="minorHAnsi" w:eastAsiaTheme="minorHAnsi" w:hAnsiTheme="minorHAnsi" w:cs="Arial"/>
          <w:sz w:val="24"/>
          <w:szCs w:val="24"/>
        </w:rPr>
        <w:t>self-management, adaptability and resilience, self-monitoring and</w:t>
      </w:r>
      <w:r w:rsidR="00FB4CDF" w:rsidRPr="00F14E28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F14E28">
        <w:rPr>
          <w:rFonts w:asciiTheme="minorHAnsi" w:eastAsiaTheme="minorHAnsi" w:hAnsiTheme="minorHAnsi" w:cs="Arial"/>
          <w:sz w:val="24"/>
          <w:szCs w:val="24"/>
        </w:rPr>
        <w:t>development.</w:t>
      </w:r>
    </w:p>
    <w:p w:rsidR="00D82EC5" w:rsidRPr="00FB4CDF" w:rsidRDefault="00D82EC5" w:rsidP="00FB4C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D82EC5" w:rsidRPr="00FB4CDF" w:rsidRDefault="00D82EC5" w:rsidP="00FB4C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B4CDF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There are also specific requirements in some units for assessment of these skills where relevant.</w:t>
      </w:r>
      <w:r w:rsidR="00FB4CDF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FB4CDF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For example, where learners are required to undertake real or simulated activities.</w:t>
      </w:r>
    </w:p>
    <w:p w:rsidR="0035317C" w:rsidRPr="00FB4CDF" w:rsidRDefault="0035317C" w:rsidP="00FB4CDF">
      <w:pPr>
        <w:spacing w:after="0" w:line="240" w:lineRule="auto"/>
        <w:contextualSpacing/>
        <w:jc w:val="both"/>
        <w:rPr>
          <w:rFonts w:asciiTheme="minorHAnsi" w:eastAsia="Arial" w:hAnsiTheme="minorHAnsi" w:cs="Arial"/>
          <w:kern w:val="0"/>
          <w:sz w:val="24"/>
          <w:szCs w:val="24"/>
          <w14:ligatures w14:val="none"/>
          <w14:cntxtAlts w14:val="0"/>
        </w:rPr>
      </w:pPr>
    </w:p>
    <w:sectPr w:rsidR="0035317C" w:rsidRPr="00FB4CDF" w:rsidSect="002A7CAC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F3" w:rsidRDefault="003909F3" w:rsidP="007513CC">
      <w:pPr>
        <w:spacing w:after="0" w:line="240" w:lineRule="auto"/>
      </w:pPr>
      <w:r>
        <w:separator/>
      </w:r>
    </w:p>
  </w:endnote>
  <w:endnote w:type="continuationSeparator" w:id="0">
    <w:p w:rsidR="003909F3" w:rsidRDefault="003909F3" w:rsidP="007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F3" w:rsidRDefault="003909F3" w:rsidP="007513CC">
      <w:pPr>
        <w:spacing w:after="0" w:line="240" w:lineRule="auto"/>
      </w:pPr>
      <w:r>
        <w:separator/>
      </w:r>
    </w:p>
  </w:footnote>
  <w:footnote w:type="continuationSeparator" w:id="0">
    <w:p w:rsidR="003909F3" w:rsidRDefault="003909F3" w:rsidP="0075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6357"/>
    <w:multiLevelType w:val="hybridMultilevel"/>
    <w:tmpl w:val="8AD2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FF4"/>
    <w:multiLevelType w:val="hybridMultilevel"/>
    <w:tmpl w:val="B75C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E8D"/>
    <w:multiLevelType w:val="hybridMultilevel"/>
    <w:tmpl w:val="C2DE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1518"/>
    <w:multiLevelType w:val="multilevel"/>
    <w:tmpl w:val="EFA8C4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A0D6AFB"/>
    <w:multiLevelType w:val="hybridMultilevel"/>
    <w:tmpl w:val="ACBE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A145E"/>
    <w:multiLevelType w:val="hybridMultilevel"/>
    <w:tmpl w:val="2B3E40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36DF0"/>
    <w:multiLevelType w:val="hybridMultilevel"/>
    <w:tmpl w:val="B5784B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C"/>
    <w:rsid w:val="002606A1"/>
    <w:rsid w:val="002914D1"/>
    <w:rsid w:val="002A7CAC"/>
    <w:rsid w:val="002E642C"/>
    <w:rsid w:val="0035317C"/>
    <w:rsid w:val="0037503F"/>
    <w:rsid w:val="003909F3"/>
    <w:rsid w:val="003A6470"/>
    <w:rsid w:val="0041001C"/>
    <w:rsid w:val="00416376"/>
    <w:rsid w:val="00456428"/>
    <w:rsid w:val="004F2886"/>
    <w:rsid w:val="005B1F84"/>
    <w:rsid w:val="005D4FCB"/>
    <w:rsid w:val="006D25A6"/>
    <w:rsid w:val="00722392"/>
    <w:rsid w:val="007232C9"/>
    <w:rsid w:val="00737584"/>
    <w:rsid w:val="007513CC"/>
    <w:rsid w:val="00770394"/>
    <w:rsid w:val="007944AF"/>
    <w:rsid w:val="0086291A"/>
    <w:rsid w:val="00933AC1"/>
    <w:rsid w:val="00967751"/>
    <w:rsid w:val="00982FEE"/>
    <w:rsid w:val="00A130A6"/>
    <w:rsid w:val="00AA70A5"/>
    <w:rsid w:val="00B076A0"/>
    <w:rsid w:val="00B43F00"/>
    <w:rsid w:val="00C34C86"/>
    <w:rsid w:val="00C70832"/>
    <w:rsid w:val="00CA5B36"/>
    <w:rsid w:val="00CC7C6A"/>
    <w:rsid w:val="00D82EC5"/>
    <w:rsid w:val="00ED3C39"/>
    <w:rsid w:val="00F14E28"/>
    <w:rsid w:val="00F669B1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58500-2212-4944-9862-1FFA9A7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7751"/>
    <w:rPr>
      <w:color w:val="0563C1"/>
      <w:u w:val="single"/>
    </w:rPr>
  </w:style>
  <w:style w:type="paragraph" w:styleId="ListParagraph">
    <w:name w:val="List Paragraph"/>
    <w:basedOn w:val="Normal"/>
    <w:rsid w:val="00A130A6"/>
    <w:pPr>
      <w:suppressAutoHyphens/>
      <w:autoSpaceDN w:val="0"/>
      <w:spacing w:after="160" w:line="240" w:lineRule="auto"/>
      <w:ind w:left="720"/>
      <w:textAlignment w:val="baseline"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15B3-D06F-4E98-9A54-0B5805B7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K. McCarthy</cp:lastModifiedBy>
  <cp:revision>7</cp:revision>
  <cp:lastPrinted>2016-12-14T09:44:00Z</cp:lastPrinted>
  <dcterms:created xsi:type="dcterms:W3CDTF">2016-12-13T13:16:00Z</dcterms:created>
  <dcterms:modified xsi:type="dcterms:W3CDTF">2016-12-15T16:04:00Z</dcterms:modified>
</cp:coreProperties>
</file>