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E77844" w:rsidRPr="00D30FBC" w:rsidRDefault="00E77844" w:rsidP="00E77844">
      <w:pPr>
        <w:spacing w:after="0" w:line="240" w:lineRule="auto"/>
        <w:contextualSpacing/>
        <w:jc w:val="both"/>
        <w:rPr>
          <w:rFonts w:eastAsia="Arial" w:cs="Arial"/>
          <w:b/>
          <w:kern w:val="0"/>
          <w:sz w:val="28"/>
          <w:szCs w:val="28"/>
          <w:u w:val="single"/>
          <w14:ligatures w14:val="none"/>
          <w14:cntxtAlts w14:val="0"/>
        </w:rPr>
      </w:pPr>
      <w:r>
        <w:rPr>
          <w:b/>
          <w:bCs/>
          <w:sz w:val="28"/>
          <w:szCs w:val="28"/>
          <w:u w:val="single"/>
          <w14:ligatures w14:val="none"/>
        </w:rPr>
        <w:t xml:space="preserve">Health </w:t>
      </w:r>
      <w:r w:rsidR="00060C4B">
        <w:rPr>
          <w:b/>
          <w:bCs/>
          <w:sz w:val="28"/>
          <w:szCs w:val="28"/>
          <w:u w:val="single"/>
          <w14:ligatures w14:val="none"/>
        </w:rPr>
        <w:t>and</w:t>
      </w:r>
      <w:r>
        <w:rPr>
          <w:b/>
          <w:bCs/>
          <w:sz w:val="28"/>
          <w:szCs w:val="28"/>
          <w:u w:val="single"/>
          <w14:ligatures w14:val="none"/>
        </w:rPr>
        <w:t xml:space="preserve"> Social Care </w:t>
      </w:r>
    </w:p>
    <w:p w:rsidR="00737584" w:rsidRPr="002914D1" w:rsidRDefault="008C37BE" w:rsidP="00737584">
      <w:pPr>
        <w:widowControl w:val="0"/>
        <w:rPr>
          <w:b/>
          <w:bCs/>
          <w:sz w:val="28"/>
          <w:szCs w:val="28"/>
          <w:u w:val="single"/>
          <w14:ligatures w14:val="none"/>
        </w:rPr>
      </w:pPr>
      <w:r>
        <w:rPr>
          <w:b/>
          <w:bCs/>
          <w:sz w:val="28"/>
          <w:szCs w:val="28"/>
          <w:u w:val="single"/>
          <w14:ligatures w14:val="none"/>
        </w:rPr>
        <w:t xml:space="preserve">BTEC National Level 3 </w:t>
      </w:r>
      <w:r w:rsidR="004954B4">
        <w:rPr>
          <w:b/>
          <w:bCs/>
          <w:sz w:val="28"/>
          <w:szCs w:val="28"/>
          <w:u w:val="single"/>
          <w14:ligatures w14:val="none"/>
        </w:rPr>
        <w:t xml:space="preserve">Extended Certificate </w:t>
      </w:r>
      <w:r w:rsidR="0030761D">
        <w:rPr>
          <w:b/>
          <w:bCs/>
          <w:sz w:val="28"/>
          <w:szCs w:val="28"/>
          <w:u w:val="single"/>
          <w14:ligatures w14:val="none"/>
        </w:rPr>
        <w:t xml:space="preserve">in </w:t>
      </w:r>
      <w:r w:rsidR="00086C74">
        <w:rPr>
          <w:b/>
          <w:bCs/>
          <w:sz w:val="28"/>
          <w:szCs w:val="28"/>
          <w:u w:val="single"/>
          <w14:ligatures w14:val="none"/>
        </w:rPr>
        <w:t>Health and</w:t>
      </w:r>
      <w:bookmarkStart w:id="0" w:name="_GoBack"/>
      <w:bookmarkEnd w:id="0"/>
      <w:r w:rsidR="005456CD">
        <w:rPr>
          <w:b/>
          <w:bCs/>
          <w:sz w:val="28"/>
          <w:szCs w:val="28"/>
          <w:u w:val="single"/>
          <w14:ligatures w14:val="none"/>
        </w:rPr>
        <w:t xml:space="preserve"> Social Care</w:t>
      </w:r>
      <w:r w:rsidR="009C6E25">
        <w:rPr>
          <w:b/>
          <w:bCs/>
          <w:sz w:val="28"/>
          <w:szCs w:val="28"/>
          <w:u w:val="single"/>
          <w14:ligatures w14:val="none"/>
        </w:rPr>
        <w:t xml:space="preserve"> </w:t>
      </w:r>
    </w:p>
    <w:p w:rsidR="00737584" w:rsidRPr="008177E4" w:rsidRDefault="00737584" w:rsidP="008177E4">
      <w:pPr>
        <w:widowControl w:val="0"/>
        <w:spacing w:after="0" w:line="240" w:lineRule="auto"/>
        <w:jc w:val="both"/>
        <w:rPr>
          <w:b/>
          <w:bCs/>
          <w:sz w:val="24"/>
          <w:szCs w:val="24"/>
          <w14:ligatures w14:val="none"/>
        </w:rPr>
      </w:pPr>
      <w:r w:rsidRPr="008177E4">
        <w:rPr>
          <w:b/>
          <w:bCs/>
          <w:sz w:val="24"/>
          <w:szCs w:val="24"/>
          <w14:ligatures w14:val="none"/>
        </w:rPr>
        <w:t>Why study this subject?</w:t>
      </w:r>
    </w:p>
    <w:p w:rsidR="00E77844" w:rsidRPr="008177E4" w:rsidRDefault="005456CD" w:rsidP="008177E4">
      <w:pPr>
        <w:spacing w:after="0" w:line="240" w:lineRule="auto"/>
        <w:contextualSpacing/>
        <w:jc w:val="both"/>
        <w:rPr>
          <w:rFonts w:eastAsia="Arial" w:cs="Arial"/>
          <w:b/>
          <w:kern w:val="0"/>
          <w:sz w:val="24"/>
          <w:szCs w:val="24"/>
          <w14:ligatures w14:val="none"/>
          <w14:cntxtAlts w14:val="0"/>
        </w:rPr>
      </w:pPr>
      <w:r w:rsidRPr="008177E4">
        <w:rPr>
          <w:sz w:val="24"/>
          <w:szCs w:val="24"/>
        </w:rPr>
        <w:t>The course is ideal for those who are unsure of specific potential career pathways, as it provides a broader understanding of the sector, with the possibility to specialise in areas such as caring for children, adults with special needs and the elderly.  There are many employment opportunities in the Health and Social Care sector such as youth workers, counsellors and Health professionals</w:t>
      </w:r>
      <w:r w:rsidR="00E77844" w:rsidRPr="008177E4">
        <w:rPr>
          <w:sz w:val="24"/>
          <w:szCs w:val="24"/>
        </w:rPr>
        <w:t xml:space="preserve">. </w:t>
      </w:r>
    </w:p>
    <w:p w:rsidR="005456CD" w:rsidRPr="008177E4" w:rsidRDefault="005456CD" w:rsidP="008177E4">
      <w:pPr>
        <w:widowControl w:val="0"/>
        <w:spacing w:after="0" w:line="240" w:lineRule="auto"/>
        <w:jc w:val="both"/>
        <w:rPr>
          <w:sz w:val="24"/>
          <w:szCs w:val="24"/>
        </w:rPr>
      </w:pPr>
    </w:p>
    <w:p w:rsidR="008177E4" w:rsidRDefault="008177E4" w:rsidP="008177E4">
      <w:pPr>
        <w:widowControl w:val="0"/>
        <w:spacing w:after="0" w:line="240" w:lineRule="auto"/>
        <w:contextualSpacing/>
        <w:jc w:val="both"/>
        <w:rPr>
          <w:rFonts w:asciiTheme="minorHAnsi" w:hAnsiTheme="minorHAnsi"/>
          <w:b/>
          <w:bCs/>
          <w:sz w:val="24"/>
          <w:szCs w:val="24"/>
          <w14:ligatures w14:val="none"/>
        </w:rPr>
      </w:pPr>
      <w:r>
        <w:rPr>
          <w:rFonts w:asciiTheme="minorHAnsi" w:hAnsiTheme="minorHAnsi"/>
          <w:b/>
          <w:bCs/>
          <w:sz w:val="24"/>
          <w:szCs w:val="24"/>
          <w14:ligatures w14:val="none"/>
        </w:rPr>
        <w:t>Entry Requirements</w:t>
      </w:r>
    </w:p>
    <w:p w:rsidR="008177E4" w:rsidRDefault="00060C4B" w:rsidP="008177E4">
      <w:pPr>
        <w:widowControl w:val="0"/>
        <w:spacing w:after="0" w:line="240" w:lineRule="auto"/>
        <w:contextualSpacing/>
        <w:jc w:val="both"/>
        <w:rPr>
          <w:rFonts w:asciiTheme="minorHAnsi" w:eastAsiaTheme="minorHAnsi" w:hAnsiTheme="minorHAnsi" w:cs="Arial"/>
          <w:kern w:val="0"/>
          <w:sz w:val="24"/>
          <w:szCs w:val="24"/>
          <w:lang w:eastAsia="en-US"/>
          <w14:ligatures w14:val="none"/>
          <w14:cntxtAlts w14:val="0"/>
        </w:rPr>
      </w:pPr>
      <w:r>
        <w:rPr>
          <w:rFonts w:asciiTheme="minorHAnsi" w:eastAsiaTheme="minorHAnsi" w:hAnsiTheme="minorHAnsi" w:cs="Arial"/>
          <w:kern w:val="0"/>
          <w:sz w:val="24"/>
          <w:szCs w:val="24"/>
          <w:lang w:eastAsia="en-US"/>
          <w14:ligatures w14:val="none"/>
          <w14:cntxtAlts w14:val="0"/>
        </w:rPr>
        <w:t>Students need to gain f</w:t>
      </w:r>
      <w:r w:rsidR="008177E4">
        <w:rPr>
          <w:rFonts w:asciiTheme="minorHAnsi" w:eastAsiaTheme="minorHAnsi" w:hAnsiTheme="minorHAnsi" w:cs="Arial"/>
          <w:kern w:val="0"/>
          <w:sz w:val="24"/>
          <w:szCs w:val="24"/>
          <w:lang w:eastAsia="en-US"/>
          <w14:ligatures w14:val="none"/>
          <w14:cntxtAlts w14:val="0"/>
        </w:rPr>
        <w:t>ive A*-C grade GCSEs including English Language and Mathematics at grade 4.</w:t>
      </w:r>
    </w:p>
    <w:p w:rsidR="005456CD" w:rsidRPr="008177E4" w:rsidRDefault="005456CD" w:rsidP="008177E4">
      <w:pPr>
        <w:widowControl w:val="0"/>
        <w:spacing w:after="0" w:line="240" w:lineRule="auto"/>
        <w:jc w:val="both"/>
        <w:rPr>
          <w:sz w:val="24"/>
          <w:szCs w:val="24"/>
        </w:rPr>
      </w:pPr>
    </w:p>
    <w:p w:rsidR="00737584" w:rsidRPr="008177E4" w:rsidRDefault="00737584" w:rsidP="008177E4">
      <w:pPr>
        <w:widowControl w:val="0"/>
        <w:spacing w:after="0" w:line="240" w:lineRule="auto"/>
        <w:jc w:val="both"/>
        <w:rPr>
          <w:b/>
          <w:bCs/>
          <w:sz w:val="24"/>
          <w:szCs w:val="24"/>
          <w14:ligatures w14:val="none"/>
        </w:rPr>
      </w:pPr>
      <w:r w:rsidRPr="008177E4">
        <w:rPr>
          <w:b/>
          <w:bCs/>
          <w:sz w:val="24"/>
          <w:szCs w:val="24"/>
          <w14:ligatures w14:val="none"/>
        </w:rPr>
        <w:t>Content</w:t>
      </w:r>
    </w:p>
    <w:p w:rsidR="00FA0EA5" w:rsidRDefault="00E77844" w:rsidP="008177E4">
      <w:pPr>
        <w:autoSpaceDE w:val="0"/>
        <w:autoSpaceDN w:val="0"/>
        <w:adjustRightInd w:val="0"/>
        <w:spacing w:after="0" w:line="240" w:lineRule="auto"/>
        <w:contextualSpacing/>
        <w:jc w:val="both"/>
        <w:rPr>
          <w:sz w:val="24"/>
          <w:szCs w:val="24"/>
        </w:rPr>
      </w:pPr>
      <w:r w:rsidRPr="008177E4">
        <w:rPr>
          <w:sz w:val="24"/>
          <w:szCs w:val="24"/>
        </w:rPr>
        <w:t>There are three mandatory units:</w:t>
      </w:r>
      <w:r w:rsidR="005456CD" w:rsidRPr="008177E4">
        <w:rPr>
          <w:sz w:val="24"/>
          <w:szCs w:val="24"/>
        </w:rPr>
        <w:t xml:space="preserve"> </w:t>
      </w:r>
    </w:p>
    <w:p w:rsidR="00FA0EA5" w:rsidRDefault="005456CD" w:rsidP="008177E4">
      <w:pPr>
        <w:autoSpaceDE w:val="0"/>
        <w:autoSpaceDN w:val="0"/>
        <w:adjustRightInd w:val="0"/>
        <w:spacing w:after="0" w:line="240" w:lineRule="auto"/>
        <w:contextualSpacing/>
        <w:jc w:val="both"/>
        <w:rPr>
          <w:sz w:val="24"/>
          <w:szCs w:val="24"/>
        </w:rPr>
      </w:pPr>
      <w:r w:rsidRPr="00060C4B">
        <w:rPr>
          <w:b/>
          <w:sz w:val="24"/>
          <w:szCs w:val="24"/>
        </w:rPr>
        <w:t>Un</w:t>
      </w:r>
      <w:r w:rsidR="00E77844" w:rsidRPr="00060C4B">
        <w:rPr>
          <w:b/>
          <w:sz w:val="24"/>
          <w:szCs w:val="24"/>
        </w:rPr>
        <w:t>it 1</w:t>
      </w:r>
      <w:r w:rsidR="00E77844" w:rsidRPr="008177E4">
        <w:rPr>
          <w:sz w:val="24"/>
          <w:szCs w:val="24"/>
        </w:rPr>
        <w:t xml:space="preserve"> Human Lifespan Development;</w:t>
      </w:r>
      <w:r w:rsidRPr="008177E4">
        <w:rPr>
          <w:sz w:val="24"/>
          <w:szCs w:val="24"/>
        </w:rPr>
        <w:t xml:space="preserve"> </w:t>
      </w:r>
    </w:p>
    <w:p w:rsidR="00FA0EA5" w:rsidRDefault="005456CD" w:rsidP="008177E4">
      <w:pPr>
        <w:autoSpaceDE w:val="0"/>
        <w:autoSpaceDN w:val="0"/>
        <w:adjustRightInd w:val="0"/>
        <w:spacing w:after="0" w:line="240" w:lineRule="auto"/>
        <w:contextualSpacing/>
        <w:jc w:val="both"/>
        <w:rPr>
          <w:sz w:val="24"/>
          <w:szCs w:val="24"/>
        </w:rPr>
      </w:pPr>
      <w:r w:rsidRPr="00060C4B">
        <w:rPr>
          <w:b/>
          <w:sz w:val="24"/>
          <w:szCs w:val="24"/>
        </w:rPr>
        <w:t>Unit 2</w:t>
      </w:r>
      <w:r w:rsidRPr="008177E4">
        <w:rPr>
          <w:sz w:val="24"/>
          <w:szCs w:val="24"/>
        </w:rPr>
        <w:t xml:space="preserve"> Working</w:t>
      </w:r>
      <w:r w:rsidR="00E77844" w:rsidRPr="008177E4">
        <w:rPr>
          <w:sz w:val="24"/>
          <w:szCs w:val="24"/>
        </w:rPr>
        <w:t xml:space="preserve"> in Health &amp; Social Care;</w:t>
      </w:r>
      <w:r w:rsidR="00287FDA" w:rsidRPr="008177E4">
        <w:rPr>
          <w:sz w:val="24"/>
          <w:szCs w:val="24"/>
        </w:rPr>
        <w:t xml:space="preserve"> </w:t>
      </w:r>
    </w:p>
    <w:p w:rsidR="00FA0EA5" w:rsidRDefault="00287FDA" w:rsidP="008177E4">
      <w:pPr>
        <w:autoSpaceDE w:val="0"/>
        <w:autoSpaceDN w:val="0"/>
        <w:adjustRightInd w:val="0"/>
        <w:spacing w:after="0" w:line="240" w:lineRule="auto"/>
        <w:contextualSpacing/>
        <w:jc w:val="both"/>
        <w:rPr>
          <w:sz w:val="24"/>
          <w:szCs w:val="24"/>
        </w:rPr>
      </w:pPr>
      <w:r w:rsidRPr="00060C4B">
        <w:rPr>
          <w:b/>
          <w:color w:val="auto"/>
          <w:sz w:val="24"/>
          <w:szCs w:val="24"/>
        </w:rPr>
        <w:t>Unit 5</w:t>
      </w:r>
      <w:r w:rsidR="005456CD" w:rsidRPr="008177E4">
        <w:rPr>
          <w:color w:val="auto"/>
          <w:sz w:val="24"/>
          <w:szCs w:val="24"/>
        </w:rPr>
        <w:t xml:space="preserve"> Meeting </w:t>
      </w:r>
      <w:r w:rsidR="005456CD" w:rsidRPr="008177E4">
        <w:rPr>
          <w:sz w:val="24"/>
          <w:szCs w:val="24"/>
        </w:rPr>
        <w:t>Individual Care and Support Needs</w:t>
      </w:r>
      <w:r w:rsidR="00C56036" w:rsidRPr="008177E4">
        <w:rPr>
          <w:sz w:val="24"/>
          <w:szCs w:val="24"/>
        </w:rPr>
        <w:t>;</w:t>
      </w:r>
      <w:r w:rsidR="005456CD" w:rsidRPr="008177E4">
        <w:rPr>
          <w:sz w:val="24"/>
          <w:szCs w:val="24"/>
        </w:rPr>
        <w:t xml:space="preserve"> </w:t>
      </w:r>
    </w:p>
    <w:p w:rsidR="00FA0EA5" w:rsidRDefault="00FA0EA5" w:rsidP="008177E4">
      <w:pPr>
        <w:autoSpaceDE w:val="0"/>
        <w:autoSpaceDN w:val="0"/>
        <w:adjustRightInd w:val="0"/>
        <w:spacing w:after="0" w:line="240" w:lineRule="auto"/>
        <w:contextualSpacing/>
        <w:jc w:val="both"/>
        <w:rPr>
          <w:sz w:val="24"/>
          <w:szCs w:val="24"/>
        </w:rPr>
      </w:pPr>
      <w:r>
        <w:rPr>
          <w:sz w:val="24"/>
          <w:szCs w:val="24"/>
        </w:rPr>
        <w:t>O</w:t>
      </w:r>
      <w:r w:rsidR="005456CD" w:rsidRPr="008177E4">
        <w:rPr>
          <w:sz w:val="24"/>
          <w:szCs w:val="24"/>
        </w:rPr>
        <w:t xml:space="preserve">ne optional </w:t>
      </w:r>
      <w:r w:rsidR="00C56036" w:rsidRPr="008177E4">
        <w:rPr>
          <w:sz w:val="24"/>
          <w:szCs w:val="24"/>
        </w:rPr>
        <w:t xml:space="preserve">unit: </w:t>
      </w:r>
    </w:p>
    <w:p w:rsidR="00FA0EA5" w:rsidRDefault="00F534BD" w:rsidP="008177E4">
      <w:pPr>
        <w:autoSpaceDE w:val="0"/>
        <w:autoSpaceDN w:val="0"/>
        <w:adjustRightInd w:val="0"/>
        <w:spacing w:after="0" w:line="240" w:lineRule="auto"/>
        <w:contextualSpacing/>
        <w:jc w:val="both"/>
        <w:rPr>
          <w:sz w:val="24"/>
          <w:szCs w:val="24"/>
        </w:rPr>
      </w:pPr>
      <w:r w:rsidRPr="00FA0EA5">
        <w:rPr>
          <w:b/>
          <w:color w:val="auto"/>
          <w:sz w:val="24"/>
          <w:szCs w:val="24"/>
        </w:rPr>
        <w:t xml:space="preserve">Unit </w:t>
      </w:r>
      <w:r w:rsidR="00287FDA" w:rsidRPr="00FA0EA5">
        <w:rPr>
          <w:b/>
          <w:color w:val="auto"/>
          <w:sz w:val="24"/>
          <w:szCs w:val="24"/>
        </w:rPr>
        <w:t>10</w:t>
      </w:r>
      <w:r w:rsidRPr="008177E4">
        <w:rPr>
          <w:color w:val="auto"/>
          <w:sz w:val="24"/>
          <w:szCs w:val="24"/>
        </w:rPr>
        <w:t xml:space="preserve"> </w:t>
      </w:r>
      <w:r w:rsidRPr="008177E4">
        <w:rPr>
          <w:sz w:val="24"/>
          <w:szCs w:val="24"/>
        </w:rPr>
        <w:t>Sociological Persp</w:t>
      </w:r>
      <w:r w:rsidR="00C56036" w:rsidRPr="008177E4">
        <w:rPr>
          <w:sz w:val="24"/>
          <w:szCs w:val="24"/>
        </w:rPr>
        <w:t xml:space="preserve">ectives in Health </w:t>
      </w:r>
      <w:r w:rsidR="00060C4B">
        <w:rPr>
          <w:sz w:val="24"/>
          <w:szCs w:val="24"/>
        </w:rPr>
        <w:t>and</w:t>
      </w:r>
      <w:r w:rsidR="00C56036" w:rsidRPr="008177E4">
        <w:rPr>
          <w:sz w:val="24"/>
          <w:szCs w:val="24"/>
        </w:rPr>
        <w:t xml:space="preserve"> Social Care. </w:t>
      </w:r>
    </w:p>
    <w:p w:rsidR="007944AF" w:rsidRPr="008177E4" w:rsidRDefault="005456CD" w:rsidP="008177E4">
      <w:pPr>
        <w:autoSpaceDE w:val="0"/>
        <w:autoSpaceDN w:val="0"/>
        <w:adjustRightInd w:val="0"/>
        <w:spacing w:after="0" w:line="240" w:lineRule="auto"/>
        <w:contextualSpacing/>
        <w:jc w:val="both"/>
        <w:rPr>
          <w:sz w:val="24"/>
          <w:szCs w:val="24"/>
        </w:rPr>
      </w:pPr>
      <w:r w:rsidRPr="008177E4">
        <w:rPr>
          <w:sz w:val="24"/>
          <w:szCs w:val="24"/>
        </w:rPr>
        <w:t xml:space="preserve">Students are required to complete a minimum of 50 hours work experience in a Health </w:t>
      </w:r>
      <w:r w:rsidR="00060C4B">
        <w:rPr>
          <w:sz w:val="24"/>
          <w:szCs w:val="24"/>
        </w:rPr>
        <w:t xml:space="preserve">and </w:t>
      </w:r>
      <w:r w:rsidRPr="008177E4">
        <w:rPr>
          <w:sz w:val="24"/>
          <w:szCs w:val="24"/>
        </w:rPr>
        <w:t>Social Care setting.</w:t>
      </w:r>
      <w:r w:rsidR="00C56036" w:rsidRPr="008177E4">
        <w:rPr>
          <w:rFonts w:eastAsiaTheme="minorHAnsi" w:cs="Arial"/>
          <w:color w:val="auto"/>
          <w:kern w:val="0"/>
          <w:sz w:val="24"/>
          <w:szCs w:val="24"/>
          <w:lang w:eastAsia="en-US"/>
          <w14:ligatures w14:val="none"/>
          <w14:cntxtAlts w14:val="0"/>
        </w:rPr>
        <w:t xml:space="preserve"> </w:t>
      </w:r>
      <w:r w:rsidR="00C56036" w:rsidRPr="008177E4">
        <w:rPr>
          <w:b/>
          <w:sz w:val="24"/>
          <w:szCs w:val="24"/>
        </w:rPr>
        <w:t>The course involves 360 Guided Learning Hours (GLH) and is equivalent to one A Level</w:t>
      </w:r>
      <w:r w:rsidR="00C56036" w:rsidRPr="008177E4">
        <w:rPr>
          <w:sz w:val="24"/>
          <w:szCs w:val="24"/>
        </w:rPr>
        <w:t>.</w:t>
      </w:r>
      <w:r w:rsidR="00C56036" w:rsidRPr="008177E4">
        <w:rPr>
          <w:rFonts w:eastAsiaTheme="minorHAnsi" w:cs="Arial"/>
          <w:color w:val="auto"/>
          <w:kern w:val="0"/>
          <w:sz w:val="24"/>
          <w:szCs w:val="24"/>
          <w:lang w:eastAsia="en-US"/>
          <w14:ligatures w14:val="none"/>
          <w14:cntxtAlts w14:val="0"/>
        </w:rPr>
        <w:t xml:space="preserve"> </w:t>
      </w:r>
      <w:r w:rsidR="00C56036" w:rsidRPr="008177E4">
        <w:rPr>
          <w:sz w:val="24"/>
          <w:szCs w:val="24"/>
        </w:rPr>
        <w:t>I</w:t>
      </w:r>
      <w:r w:rsidR="008C37BE" w:rsidRPr="008177E4">
        <w:rPr>
          <w:sz w:val="24"/>
          <w:szCs w:val="24"/>
        </w:rPr>
        <w:t xml:space="preserve">t is possible to combine it with other vocational or academic qualifications, giving the opportunity for learners to create an individual learning experience, tailored towards particular career aspirations. </w:t>
      </w:r>
    </w:p>
    <w:p w:rsidR="00C56036" w:rsidRPr="008177E4" w:rsidRDefault="00C56036" w:rsidP="008177E4">
      <w:pPr>
        <w:spacing w:after="0" w:line="240" w:lineRule="auto"/>
        <w:jc w:val="both"/>
        <w:rPr>
          <w:sz w:val="24"/>
          <w:szCs w:val="24"/>
        </w:rPr>
      </w:pPr>
    </w:p>
    <w:p w:rsidR="00737584" w:rsidRPr="008177E4" w:rsidRDefault="00737584" w:rsidP="008177E4">
      <w:pPr>
        <w:widowControl w:val="0"/>
        <w:spacing w:after="0" w:line="240" w:lineRule="auto"/>
        <w:jc w:val="both"/>
        <w:rPr>
          <w:b/>
          <w:bCs/>
          <w:sz w:val="24"/>
          <w:szCs w:val="24"/>
          <w14:ligatures w14:val="none"/>
        </w:rPr>
      </w:pPr>
      <w:r w:rsidRPr="008177E4">
        <w:rPr>
          <w:b/>
          <w:bCs/>
          <w:sz w:val="24"/>
          <w:szCs w:val="24"/>
          <w14:ligatures w14:val="none"/>
        </w:rPr>
        <w:t>Assessment</w:t>
      </w:r>
    </w:p>
    <w:p w:rsidR="00F534BD" w:rsidRPr="008177E4" w:rsidRDefault="00F534BD" w:rsidP="008177E4">
      <w:pPr>
        <w:spacing w:after="0" w:line="240" w:lineRule="auto"/>
        <w:jc w:val="both"/>
        <w:rPr>
          <w:sz w:val="24"/>
          <w:szCs w:val="24"/>
        </w:rPr>
      </w:pPr>
      <w:r w:rsidRPr="008177E4">
        <w:rPr>
          <w:sz w:val="24"/>
          <w:szCs w:val="24"/>
        </w:rPr>
        <w:t>The qualification is both externally (58%) and internally (42%) assessed</w:t>
      </w:r>
      <w:r w:rsidR="00C56036" w:rsidRPr="008177E4">
        <w:rPr>
          <w:sz w:val="24"/>
          <w:szCs w:val="24"/>
        </w:rPr>
        <w:t>.</w:t>
      </w:r>
    </w:p>
    <w:p w:rsidR="00F534BD" w:rsidRPr="008177E4" w:rsidRDefault="00F534BD" w:rsidP="008177E4">
      <w:pPr>
        <w:pStyle w:val="ListParagraph"/>
        <w:numPr>
          <w:ilvl w:val="0"/>
          <w:numId w:val="1"/>
        </w:numPr>
        <w:spacing w:after="0" w:line="240" w:lineRule="auto"/>
        <w:jc w:val="both"/>
        <w:rPr>
          <w:sz w:val="24"/>
          <w:szCs w:val="24"/>
        </w:rPr>
      </w:pPr>
      <w:r w:rsidRPr="008177E4">
        <w:rPr>
          <w:sz w:val="24"/>
          <w:szCs w:val="24"/>
        </w:rPr>
        <w:t xml:space="preserve">Unit 1 is externally assessed by a written exam (1.5 hours) set and marked by Pearson.  </w:t>
      </w:r>
    </w:p>
    <w:p w:rsidR="00F534BD" w:rsidRPr="008177E4" w:rsidRDefault="00F534BD" w:rsidP="008177E4">
      <w:pPr>
        <w:pStyle w:val="ListParagraph"/>
        <w:numPr>
          <w:ilvl w:val="0"/>
          <w:numId w:val="1"/>
        </w:numPr>
        <w:autoSpaceDE w:val="0"/>
        <w:spacing w:after="0" w:line="240" w:lineRule="auto"/>
        <w:jc w:val="both"/>
        <w:rPr>
          <w:sz w:val="24"/>
          <w:szCs w:val="24"/>
        </w:rPr>
      </w:pPr>
      <w:r w:rsidRPr="008177E4">
        <w:rPr>
          <w:sz w:val="24"/>
          <w:szCs w:val="24"/>
        </w:rPr>
        <w:t>Unit 2 is externally assessed by a written exam (1.5 hours) set and marked by Pearson.</w:t>
      </w:r>
    </w:p>
    <w:p w:rsidR="00F534BD" w:rsidRPr="008177E4" w:rsidRDefault="00287FDA" w:rsidP="008177E4">
      <w:pPr>
        <w:pStyle w:val="ListParagraph"/>
        <w:numPr>
          <w:ilvl w:val="0"/>
          <w:numId w:val="1"/>
        </w:numPr>
        <w:autoSpaceDE w:val="0"/>
        <w:spacing w:after="0" w:line="240" w:lineRule="auto"/>
        <w:jc w:val="both"/>
        <w:rPr>
          <w:sz w:val="24"/>
          <w:szCs w:val="24"/>
        </w:rPr>
      </w:pPr>
      <w:r w:rsidRPr="008177E4">
        <w:rPr>
          <w:color w:val="auto"/>
          <w:sz w:val="24"/>
          <w:szCs w:val="24"/>
        </w:rPr>
        <w:t>Units 5 and 10</w:t>
      </w:r>
      <w:r w:rsidR="00F534BD" w:rsidRPr="008177E4">
        <w:rPr>
          <w:color w:val="auto"/>
          <w:sz w:val="24"/>
          <w:szCs w:val="24"/>
        </w:rPr>
        <w:t xml:space="preserve"> are </w:t>
      </w:r>
      <w:r w:rsidR="00F534BD" w:rsidRPr="008177E4">
        <w:rPr>
          <w:sz w:val="24"/>
          <w:szCs w:val="24"/>
        </w:rPr>
        <w:t>coursework units internally assessed and externally verified by Pearson</w:t>
      </w:r>
      <w:r w:rsidR="00C56036" w:rsidRPr="008177E4">
        <w:rPr>
          <w:sz w:val="24"/>
          <w:szCs w:val="24"/>
        </w:rPr>
        <w:t>.</w:t>
      </w:r>
    </w:p>
    <w:p w:rsidR="007944AF" w:rsidRPr="008177E4" w:rsidRDefault="007944AF" w:rsidP="008177E4">
      <w:pPr>
        <w:widowControl w:val="0"/>
        <w:spacing w:after="0" w:line="240" w:lineRule="auto"/>
        <w:jc w:val="both"/>
        <w:rPr>
          <w:b/>
          <w:bCs/>
          <w:sz w:val="24"/>
          <w:szCs w:val="24"/>
          <w14:ligatures w14:val="none"/>
        </w:rPr>
      </w:pPr>
    </w:p>
    <w:p w:rsidR="007944AF" w:rsidRPr="008177E4" w:rsidRDefault="002606A1" w:rsidP="008177E4">
      <w:pPr>
        <w:spacing w:after="0" w:line="240" w:lineRule="auto"/>
        <w:contextualSpacing/>
        <w:jc w:val="both"/>
        <w:rPr>
          <w:b/>
          <w:bCs/>
          <w:sz w:val="24"/>
          <w:szCs w:val="24"/>
          <w14:ligatures w14:val="none"/>
        </w:rPr>
      </w:pPr>
      <w:r w:rsidRPr="008177E4">
        <w:rPr>
          <w:rFonts w:cs="Arial"/>
          <w:b/>
          <w:sz w:val="24"/>
          <w:szCs w:val="24"/>
        </w:rPr>
        <w:t>Future courses and possible careers</w:t>
      </w:r>
    </w:p>
    <w:p w:rsidR="00F534BD" w:rsidRPr="008177E4" w:rsidRDefault="00F534BD" w:rsidP="008177E4">
      <w:pPr>
        <w:spacing w:after="0" w:line="240" w:lineRule="auto"/>
        <w:jc w:val="both"/>
        <w:rPr>
          <w:sz w:val="24"/>
          <w:szCs w:val="24"/>
        </w:rPr>
      </w:pPr>
      <w:r w:rsidRPr="008177E4">
        <w:rPr>
          <w:sz w:val="24"/>
          <w:szCs w:val="24"/>
        </w:rPr>
        <w:t>The BTEC National Extended Certificate in Health and Social Care has the equivalence of one A Level, and it is possible to progress into further or higher education, as the BTEC National Extended Certificate carries UCAS points for university applications dependent upon the final grade awarded.</w:t>
      </w:r>
    </w:p>
    <w:p w:rsidR="00F534BD" w:rsidRPr="008177E4" w:rsidRDefault="00F534BD" w:rsidP="008177E4">
      <w:pPr>
        <w:spacing w:after="0" w:line="240" w:lineRule="auto"/>
        <w:jc w:val="both"/>
        <w:rPr>
          <w:sz w:val="24"/>
          <w:szCs w:val="24"/>
        </w:rPr>
      </w:pPr>
    </w:p>
    <w:p w:rsidR="00F534BD" w:rsidRDefault="00F534BD" w:rsidP="008177E4">
      <w:pPr>
        <w:spacing w:after="0" w:line="240" w:lineRule="auto"/>
        <w:jc w:val="both"/>
        <w:rPr>
          <w:sz w:val="24"/>
          <w:szCs w:val="24"/>
        </w:rPr>
      </w:pPr>
      <w:r w:rsidRPr="008177E4">
        <w:rPr>
          <w:sz w:val="24"/>
          <w:szCs w:val="24"/>
        </w:rPr>
        <w:t xml:space="preserve">If successful there are a variety of potential careers that you can explore, all of which will benefit from your studies, for example: Teaching, Psychology, Social Work, Health Care or Occupational Health.  The UCAS points gained from this course can be used </w:t>
      </w:r>
      <w:r w:rsidR="00C56036" w:rsidRPr="008177E4">
        <w:rPr>
          <w:sz w:val="24"/>
          <w:szCs w:val="24"/>
        </w:rPr>
        <w:t xml:space="preserve">to apply </w:t>
      </w:r>
      <w:r w:rsidRPr="008177E4">
        <w:rPr>
          <w:sz w:val="24"/>
          <w:szCs w:val="24"/>
        </w:rPr>
        <w:t>for courses no</w:t>
      </w:r>
      <w:r w:rsidR="00060C4B">
        <w:rPr>
          <w:sz w:val="24"/>
          <w:szCs w:val="24"/>
        </w:rPr>
        <w:t>t related to Health and</w:t>
      </w:r>
      <w:r w:rsidR="00FA0EA5">
        <w:rPr>
          <w:sz w:val="24"/>
          <w:szCs w:val="24"/>
        </w:rPr>
        <w:t xml:space="preserve"> Social Care.</w:t>
      </w:r>
    </w:p>
    <w:p w:rsidR="00FA0EA5" w:rsidRPr="008177E4" w:rsidRDefault="00FA0EA5" w:rsidP="008177E4">
      <w:pPr>
        <w:spacing w:after="0" w:line="240" w:lineRule="auto"/>
        <w:jc w:val="both"/>
        <w:rPr>
          <w:sz w:val="24"/>
          <w:szCs w:val="24"/>
        </w:rPr>
      </w:pPr>
    </w:p>
    <w:p w:rsidR="00F534BD" w:rsidRPr="008177E4" w:rsidRDefault="00F534BD" w:rsidP="008177E4">
      <w:pPr>
        <w:spacing w:after="0" w:line="240" w:lineRule="auto"/>
        <w:jc w:val="both"/>
        <w:rPr>
          <w:sz w:val="24"/>
          <w:szCs w:val="24"/>
        </w:rPr>
      </w:pPr>
      <w:r w:rsidRPr="008177E4">
        <w:rPr>
          <w:sz w:val="24"/>
          <w:szCs w:val="24"/>
        </w:rPr>
        <w:t xml:space="preserve">For further information about the qualification please </w:t>
      </w:r>
      <w:r w:rsidR="00C56036" w:rsidRPr="008177E4">
        <w:rPr>
          <w:sz w:val="24"/>
          <w:szCs w:val="24"/>
        </w:rPr>
        <w:t>visit this website:</w:t>
      </w:r>
    </w:p>
    <w:p w:rsidR="008C37BE" w:rsidRPr="008177E4" w:rsidRDefault="00086C74" w:rsidP="008177E4">
      <w:pPr>
        <w:spacing w:after="0" w:line="240" w:lineRule="auto"/>
        <w:jc w:val="both"/>
        <w:rPr>
          <w:b/>
          <w:bCs/>
          <w:sz w:val="24"/>
          <w:szCs w:val="24"/>
          <w14:ligatures w14:val="none"/>
        </w:rPr>
      </w:pPr>
      <w:hyperlink r:id="rId10" w:history="1">
        <w:r w:rsidR="00F534BD" w:rsidRPr="008177E4">
          <w:rPr>
            <w:rStyle w:val="Hyperlink"/>
            <w:sz w:val="24"/>
            <w:szCs w:val="24"/>
          </w:rPr>
          <w:t>http://qualifications.pearson.com/en/qualifications/btec-nationals/health-and-social-care-2016.html</w:t>
        </w:r>
      </w:hyperlink>
    </w:p>
    <w:p w:rsidR="00737584" w:rsidRPr="008177E4" w:rsidRDefault="00737584" w:rsidP="008177E4">
      <w:pPr>
        <w:jc w:val="both"/>
        <w:rPr>
          <w:sz w:val="24"/>
          <w:szCs w:val="24"/>
        </w:rPr>
      </w:pPr>
    </w:p>
    <w:sectPr w:rsidR="00737584" w:rsidRPr="008177E4"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C27CFF"/>
    <w:multiLevelType w:val="hybridMultilevel"/>
    <w:tmpl w:val="1756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60C4B"/>
    <w:rsid w:val="00086C74"/>
    <w:rsid w:val="002606A1"/>
    <w:rsid w:val="00287FDA"/>
    <w:rsid w:val="002914D1"/>
    <w:rsid w:val="002A7CAC"/>
    <w:rsid w:val="002E642C"/>
    <w:rsid w:val="0030761D"/>
    <w:rsid w:val="003909F3"/>
    <w:rsid w:val="003A6470"/>
    <w:rsid w:val="00456428"/>
    <w:rsid w:val="004954B4"/>
    <w:rsid w:val="005456CD"/>
    <w:rsid w:val="00600D01"/>
    <w:rsid w:val="006D25A6"/>
    <w:rsid w:val="00737584"/>
    <w:rsid w:val="007424A7"/>
    <w:rsid w:val="007513CC"/>
    <w:rsid w:val="00770394"/>
    <w:rsid w:val="007944AF"/>
    <w:rsid w:val="008177E4"/>
    <w:rsid w:val="0086291A"/>
    <w:rsid w:val="008A28DF"/>
    <w:rsid w:val="008C37BE"/>
    <w:rsid w:val="00982FEE"/>
    <w:rsid w:val="009C6E25"/>
    <w:rsid w:val="00AA727C"/>
    <w:rsid w:val="00B43F00"/>
    <w:rsid w:val="00C34C86"/>
    <w:rsid w:val="00C56036"/>
    <w:rsid w:val="00C70832"/>
    <w:rsid w:val="00CA5B36"/>
    <w:rsid w:val="00E77844"/>
    <w:rsid w:val="00F534BD"/>
    <w:rsid w:val="00F669B1"/>
    <w:rsid w:val="00FA0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C37BE"/>
    <w:rPr>
      <w:color w:val="0563C1"/>
      <w:u w:val="single"/>
    </w:rPr>
  </w:style>
  <w:style w:type="paragraph" w:styleId="ListParagraph">
    <w:name w:val="List Paragraph"/>
    <w:basedOn w:val="Normal"/>
    <w:uiPriority w:val="34"/>
    <w:qFormat/>
    <w:rsid w:val="00C56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020">
      <w:bodyDiv w:val="1"/>
      <w:marLeft w:val="0"/>
      <w:marRight w:val="0"/>
      <w:marTop w:val="0"/>
      <w:marBottom w:val="0"/>
      <w:divBdr>
        <w:top w:val="none" w:sz="0" w:space="0" w:color="auto"/>
        <w:left w:val="none" w:sz="0" w:space="0" w:color="auto"/>
        <w:bottom w:val="none" w:sz="0" w:space="0" w:color="auto"/>
        <w:right w:val="none" w:sz="0" w:space="0" w:color="auto"/>
      </w:divBdr>
    </w:div>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qualifications.pearson.com/en/qualifications/btec-nationals/health-and-social-care-2016.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63F6F-C2CB-4E8F-9F59-C2F14644A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9</cp:revision>
  <cp:lastPrinted>2015-09-30T08:29:00Z</cp:lastPrinted>
  <dcterms:created xsi:type="dcterms:W3CDTF">2016-11-07T12:30:00Z</dcterms:created>
  <dcterms:modified xsi:type="dcterms:W3CDTF">2016-12-15T15:40:00Z</dcterms:modified>
</cp:coreProperties>
</file>