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14:paraId="5B6D5320" w14:textId="77777777" w:rsidTr="00CA5B36">
        <w:trPr>
          <w:trHeight w:val="879"/>
        </w:trPr>
        <w:tc>
          <w:tcPr>
            <w:tcW w:w="9356" w:type="dxa"/>
          </w:tcPr>
          <w:p w14:paraId="5B6D531B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14:paraId="5B6D531C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14:paraId="5B6D531D" w14:textId="77777777"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14:paraId="5B6D531E" w14:textId="77777777"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  <w:r>
              <w:rPr>
                <w:b/>
                <w:bCs/>
                <w:noProof/>
                <w:sz w:val="30"/>
                <w:szCs w:val="30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5B6D533F" wp14:editId="5B6D5340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-15875</wp:posOffset>
                  </wp:positionV>
                  <wp:extent cx="600075" cy="862816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llers wood logo high quality no tex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6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D531F" w14:textId="77777777"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14:paraId="5B6D5321" w14:textId="77777777" w:rsidR="003A6470" w:rsidRPr="00CA5B36" w:rsidRDefault="00CA5B36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5B6D5341" wp14:editId="5B6D5342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>
        <w:rPr>
          <w:b/>
          <w:bCs/>
          <w:sz w:val="30"/>
          <w:szCs w:val="30"/>
          <w14:ligatures w14:val="none"/>
        </w:rPr>
        <w:t xml:space="preserve">                              </w:t>
      </w:r>
    </w:p>
    <w:p w14:paraId="5B6D5322" w14:textId="77777777"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14:paraId="5B6D5323" w14:textId="77777777"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14:paraId="5B6D5324" w14:textId="77777777"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14:paraId="5B6D5325" w14:textId="3395CD52" w:rsidR="00737584" w:rsidRPr="000E60FE" w:rsidRDefault="002D03A8" w:rsidP="000E60FE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  <w14:ligatures w14:val="none"/>
        </w:rPr>
      </w:pPr>
      <w:r w:rsidRPr="000E60FE">
        <w:rPr>
          <w:rFonts w:asciiTheme="minorHAnsi" w:hAnsiTheme="minorHAnsi" w:cs="Arial"/>
          <w:b/>
          <w:sz w:val="28"/>
          <w:szCs w:val="28"/>
          <w:u w:val="single"/>
        </w:rPr>
        <w:t>M</w:t>
      </w:r>
      <w:r w:rsidR="0023125C">
        <w:rPr>
          <w:rFonts w:asciiTheme="minorHAnsi" w:hAnsiTheme="minorHAnsi" w:cs="Arial"/>
          <w:b/>
          <w:sz w:val="28"/>
          <w:szCs w:val="28"/>
          <w:u w:val="single"/>
        </w:rPr>
        <w:t>athematics</w:t>
      </w:r>
      <w:bookmarkStart w:id="0" w:name="_GoBack"/>
      <w:bookmarkEnd w:id="0"/>
      <w:r w:rsidR="00E35EC9" w:rsidRPr="000E60FE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FF33EC" w:rsidRPr="000E60FE">
        <w:rPr>
          <w:rFonts w:asciiTheme="minorHAnsi" w:hAnsiTheme="minorHAnsi" w:cs="Arial"/>
          <w:b/>
          <w:sz w:val="28"/>
          <w:szCs w:val="28"/>
          <w:u w:val="single"/>
        </w:rPr>
        <w:t xml:space="preserve">- </w:t>
      </w:r>
      <w:r w:rsidR="00A031E8" w:rsidRPr="000E60FE">
        <w:rPr>
          <w:rFonts w:asciiTheme="minorHAnsi" w:hAnsiTheme="minorHAnsi"/>
          <w:b/>
          <w:bCs/>
          <w:sz w:val="28"/>
          <w:szCs w:val="28"/>
          <w:u w:val="single"/>
          <w14:ligatures w14:val="none"/>
        </w:rPr>
        <w:t>GCSE Resits</w:t>
      </w:r>
    </w:p>
    <w:p w14:paraId="3D0D4354" w14:textId="77777777" w:rsidR="000E60FE" w:rsidRDefault="000E60FE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7E01F402" w14:textId="77777777" w:rsidR="00AC69BF" w:rsidRPr="000E60FE" w:rsidRDefault="00154FEF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0E60FE">
        <w:rPr>
          <w:rFonts w:asciiTheme="minorHAnsi" w:hAnsiTheme="minorHAnsi"/>
          <w:b/>
          <w:bCs/>
          <w:sz w:val="24"/>
          <w:szCs w:val="24"/>
          <w14:ligatures w14:val="none"/>
        </w:rPr>
        <w:t>Who is this for?</w:t>
      </w:r>
    </w:p>
    <w:p w14:paraId="5B6D5327" w14:textId="2BFAF6B3" w:rsidR="002D03A8" w:rsidRPr="000E60FE" w:rsidRDefault="00154FEF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who achieve a </w:t>
      </w:r>
      <w:r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grade 3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at GCSE Maths in Year 11 </w:t>
      </w:r>
      <w:r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are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required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(by the government) to resit in the Sixth Form. </w:t>
      </w:r>
      <w:r w:rsidR="00FF33EC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will therefore be compulsory.</w:t>
      </w:r>
    </w:p>
    <w:p w14:paraId="0B33F2C6" w14:textId="7FC9678D" w:rsidR="00154FEF" w:rsidRPr="000E60FE" w:rsidRDefault="00154FEF" w:rsidP="000E60F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who achieve a </w:t>
      </w:r>
      <w:r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grade 4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 Year 11 </w:t>
      </w:r>
      <w:r w:rsidR="00C319A3"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are highly recommended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resit in order to gain a grade 5. Thi</w:t>
      </w:r>
      <w:r w:rsidR="00C319A3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 could be important for future employment, apprenticeships or applying for higher education where we expect a grade 5 will become a minimum requirement by many.</w:t>
      </w:r>
    </w:p>
    <w:p w14:paraId="5B6D532B" w14:textId="2681D500" w:rsidR="007944AF" w:rsidRPr="000E60FE" w:rsidRDefault="00154FEF" w:rsidP="000E60F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who achieve a </w:t>
      </w:r>
      <w:r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grade 5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higher are </w:t>
      </w:r>
      <w:r w:rsidRPr="000E60FE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not normally required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resit, unless they need a </w:t>
      </w:r>
      <w:r w:rsidR="00AC69BF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higher grade for a particular A 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Level course. Some students ch</w:t>
      </w:r>
      <w:r w:rsidR="00AC69BF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ose to resit anyway, in order to gain a higher grade. These students will be asked to pay the exam entry fee.</w:t>
      </w:r>
    </w:p>
    <w:p w14:paraId="40DCBC6A" w14:textId="77777777" w:rsidR="000E60FE" w:rsidRDefault="000E60FE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347B4753" w14:textId="77777777" w:rsidR="00AC69BF" w:rsidRPr="000E60FE" w:rsidRDefault="00737584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0E60FE">
        <w:rPr>
          <w:rFonts w:asciiTheme="minorHAnsi" w:hAnsiTheme="minorHAnsi"/>
          <w:b/>
          <w:bCs/>
          <w:sz w:val="24"/>
          <w:szCs w:val="24"/>
          <w14:ligatures w14:val="none"/>
        </w:rPr>
        <w:t>Content</w:t>
      </w:r>
    </w:p>
    <w:p w14:paraId="6FCA7123" w14:textId="4B1A29C9" w:rsidR="00577D52" w:rsidRPr="000E60FE" w:rsidRDefault="00154FEF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0E60FE">
        <w:rPr>
          <w:rFonts w:asciiTheme="minorHAnsi" w:eastAsiaTheme="minorHAnsi" w:hAnsiTheme="minorHAnsi" w:cs="Arial"/>
          <w:sz w:val="24"/>
          <w:szCs w:val="24"/>
        </w:rPr>
        <w:t xml:space="preserve">The intention is to have two resit groups, one taking </w:t>
      </w:r>
      <w:r w:rsidR="00AC69BF" w:rsidRPr="000E60FE">
        <w:rPr>
          <w:rFonts w:asciiTheme="minorHAnsi" w:eastAsiaTheme="minorHAnsi" w:hAnsiTheme="minorHAnsi" w:cs="Arial"/>
          <w:sz w:val="24"/>
          <w:szCs w:val="24"/>
        </w:rPr>
        <w:t>the Foundation Tier (grades 1-</w:t>
      </w:r>
      <w:r w:rsidRPr="000E60FE">
        <w:rPr>
          <w:rFonts w:asciiTheme="minorHAnsi" w:eastAsiaTheme="minorHAnsi" w:hAnsiTheme="minorHAnsi" w:cs="Arial"/>
          <w:sz w:val="24"/>
          <w:szCs w:val="24"/>
        </w:rPr>
        <w:t>5) and one tak</w:t>
      </w:r>
      <w:r w:rsidR="00AC69BF" w:rsidRPr="000E60FE">
        <w:rPr>
          <w:rFonts w:asciiTheme="minorHAnsi" w:eastAsiaTheme="minorHAnsi" w:hAnsiTheme="minorHAnsi" w:cs="Arial"/>
          <w:sz w:val="24"/>
          <w:szCs w:val="24"/>
        </w:rPr>
        <w:t>ing the Higher Tier (grades 5-</w:t>
      </w:r>
      <w:r w:rsidRPr="000E60FE">
        <w:rPr>
          <w:rFonts w:asciiTheme="minorHAnsi" w:eastAsiaTheme="minorHAnsi" w:hAnsiTheme="minorHAnsi" w:cs="Arial"/>
          <w:sz w:val="24"/>
          <w:szCs w:val="24"/>
        </w:rPr>
        <w:t>9)</w:t>
      </w:r>
      <w:r w:rsidR="00577D52" w:rsidRPr="000E60FE">
        <w:rPr>
          <w:rFonts w:asciiTheme="minorHAnsi" w:eastAsiaTheme="minorHAnsi" w:hAnsiTheme="minorHAnsi" w:cs="Arial"/>
          <w:sz w:val="24"/>
          <w:szCs w:val="24"/>
        </w:rPr>
        <w:t xml:space="preserve">.  The </w:t>
      </w:r>
      <w:r w:rsidRPr="000E60FE">
        <w:rPr>
          <w:rFonts w:asciiTheme="minorHAnsi" w:eastAsiaTheme="minorHAnsi" w:hAnsiTheme="minorHAnsi" w:cs="Arial"/>
          <w:sz w:val="24"/>
          <w:szCs w:val="24"/>
        </w:rPr>
        <w:t>Foundation Tier</w:t>
      </w:r>
      <w:r w:rsidR="00577D52" w:rsidRPr="000E60FE">
        <w:rPr>
          <w:rFonts w:asciiTheme="minorHAnsi" w:eastAsiaTheme="minorHAnsi" w:hAnsiTheme="minorHAnsi" w:cs="Arial"/>
          <w:sz w:val="24"/>
          <w:szCs w:val="24"/>
        </w:rPr>
        <w:t xml:space="preserve"> group will work through </w:t>
      </w:r>
      <w:r w:rsidRPr="000E60FE">
        <w:rPr>
          <w:rFonts w:asciiTheme="minorHAnsi" w:eastAsiaTheme="minorHAnsi" w:hAnsiTheme="minorHAnsi" w:cs="Arial"/>
          <w:sz w:val="24"/>
          <w:szCs w:val="24"/>
        </w:rPr>
        <w:t>a one-year revision programme covering all the topics required to gain up to a gra</w:t>
      </w:r>
      <w:r w:rsidR="00577D52" w:rsidRPr="000E60FE">
        <w:rPr>
          <w:rFonts w:asciiTheme="minorHAnsi" w:eastAsiaTheme="minorHAnsi" w:hAnsiTheme="minorHAnsi" w:cs="Arial"/>
          <w:sz w:val="24"/>
          <w:szCs w:val="24"/>
        </w:rPr>
        <w:t xml:space="preserve">de 5 at Foundation Tier and will do a lot of work on number and ratio (plus algebra, geometry and statistics). The </w:t>
      </w:r>
      <w:r w:rsidRPr="000E60FE">
        <w:rPr>
          <w:rFonts w:asciiTheme="minorHAnsi" w:eastAsiaTheme="minorHAnsi" w:hAnsiTheme="minorHAnsi" w:cs="Arial"/>
          <w:sz w:val="24"/>
          <w:szCs w:val="24"/>
        </w:rPr>
        <w:t>Higher Tier</w:t>
      </w:r>
      <w:r w:rsidR="00577D52" w:rsidRPr="000E60FE">
        <w:rPr>
          <w:rFonts w:asciiTheme="minorHAnsi" w:eastAsiaTheme="minorHAnsi" w:hAnsiTheme="minorHAnsi" w:cs="Arial"/>
          <w:sz w:val="24"/>
          <w:szCs w:val="24"/>
        </w:rPr>
        <w:t xml:space="preserve"> group will work through</w:t>
      </w:r>
      <w:r w:rsidRPr="000E60FE">
        <w:rPr>
          <w:rFonts w:asciiTheme="minorHAnsi" w:eastAsiaTheme="minorHAnsi" w:hAnsiTheme="minorHAnsi" w:cs="Arial"/>
          <w:sz w:val="24"/>
          <w:szCs w:val="24"/>
        </w:rPr>
        <w:t xml:space="preserve"> a one</w:t>
      </w:r>
      <w:r w:rsidR="00B641F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0E60FE">
        <w:rPr>
          <w:rFonts w:asciiTheme="minorHAnsi" w:eastAsiaTheme="minorHAnsi" w:hAnsiTheme="minorHAnsi" w:cs="Arial"/>
          <w:sz w:val="24"/>
          <w:szCs w:val="24"/>
        </w:rPr>
        <w:t>year revision programme aiming to help students achiev</w:t>
      </w:r>
      <w:r w:rsidR="00FF33EC" w:rsidRPr="000E60FE">
        <w:rPr>
          <w:rFonts w:asciiTheme="minorHAnsi" w:eastAsiaTheme="minorHAnsi" w:hAnsiTheme="minorHAnsi" w:cs="Arial"/>
          <w:sz w:val="24"/>
          <w:szCs w:val="24"/>
        </w:rPr>
        <w:t>e a grade 5 or 6</w:t>
      </w:r>
      <w:r w:rsidR="00577D52" w:rsidRPr="000E60FE">
        <w:rPr>
          <w:rFonts w:asciiTheme="minorHAnsi" w:eastAsiaTheme="minorHAnsi" w:hAnsiTheme="minorHAnsi" w:cs="Arial"/>
          <w:sz w:val="24"/>
          <w:szCs w:val="24"/>
        </w:rPr>
        <w:t xml:space="preserve"> at Higher Tier and will do a lot of work on algebra (plus ratio, geometry, number and statistics).</w:t>
      </w:r>
      <w:r w:rsidR="00FF33EC" w:rsidRPr="000E60F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577D52" w:rsidRPr="000E60FE">
        <w:rPr>
          <w:rFonts w:asciiTheme="minorHAnsi" w:eastAsiaTheme="minorHAnsi" w:hAnsiTheme="minorHAnsi" w:cs="Arial"/>
          <w:sz w:val="24"/>
          <w:szCs w:val="24"/>
        </w:rPr>
        <w:t>Within both these groups there will be the chance to work on individual topics of need.</w:t>
      </w:r>
      <w:r w:rsidR="00FF33EC" w:rsidRPr="000E60FE">
        <w:rPr>
          <w:rFonts w:asciiTheme="minorHAnsi" w:eastAsiaTheme="minorHAnsi" w:hAnsiTheme="minorHAnsi" w:cs="Arial"/>
          <w:sz w:val="24"/>
          <w:szCs w:val="24"/>
        </w:rPr>
        <w:t xml:space="preserve"> Students are required to work outside of lessons and to be pro-active about their studies. </w:t>
      </w:r>
    </w:p>
    <w:p w14:paraId="5B6D5330" w14:textId="77777777" w:rsidR="007944AF" w:rsidRPr="000E60FE" w:rsidRDefault="007944AF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5421E923" w14:textId="77777777" w:rsidR="00AC69BF" w:rsidRPr="000E60FE" w:rsidRDefault="00737584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0E60FE">
        <w:rPr>
          <w:rFonts w:asciiTheme="minorHAnsi" w:hAnsiTheme="minorHAnsi"/>
          <w:b/>
          <w:bCs/>
          <w:sz w:val="24"/>
          <w:szCs w:val="24"/>
          <w14:ligatures w14:val="none"/>
        </w:rPr>
        <w:t>Assessment</w:t>
      </w:r>
    </w:p>
    <w:p w14:paraId="2224634F" w14:textId="33F9BB62" w:rsidR="00577D52" w:rsidRPr="000E60FE" w:rsidRDefault="00577D52" w:rsidP="000E60FE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0E60FE">
        <w:rPr>
          <w:rFonts w:asciiTheme="minorHAnsi" w:hAnsiTheme="minorHAnsi"/>
          <w:bCs/>
          <w:sz w:val="24"/>
          <w:szCs w:val="24"/>
          <w14:ligatures w14:val="none"/>
        </w:rPr>
        <w:t>We currently enter students for the Edexcel exams. There are three exam papers, one of which is a non-calculator exam. All the exams are 1 hour and 30 minutes long.</w:t>
      </w:r>
    </w:p>
    <w:p w14:paraId="02A9AEBC" w14:textId="1AFD82B7" w:rsidR="00FF33EC" w:rsidRPr="000E60FE" w:rsidRDefault="00577D52" w:rsidP="000E60FE">
      <w:pPr>
        <w:widowControl w:val="0"/>
        <w:spacing w:before="100" w:beforeAutospacing="1" w:after="0" w:line="240" w:lineRule="auto"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There are 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>two chance</w:t>
      </w:r>
      <w:r w:rsidR="00C319A3" w:rsidRPr="000E60FE">
        <w:rPr>
          <w:rFonts w:asciiTheme="minorHAnsi" w:hAnsiTheme="minorHAnsi"/>
          <w:bCs/>
          <w:sz w:val="24"/>
          <w:szCs w:val="24"/>
          <w14:ligatures w14:val="none"/>
        </w:rPr>
        <w:t>s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to take examinations: November and</w:t>
      </w:r>
      <w:r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>June</w:t>
      </w:r>
      <w:r w:rsidRPr="000E60FE">
        <w:rPr>
          <w:rFonts w:asciiTheme="minorHAnsi" w:hAnsiTheme="minorHAnsi"/>
          <w:bCs/>
          <w:sz w:val="24"/>
          <w:szCs w:val="24"/>
          <w14:ligatures w14:val="none"/>
        </w:rPr>
        <w:t>. The November exams come round very quickly, so if students wish to be entered for these exams they need to be revising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diligently</w:t>
      </w:r>
      <w:r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during the first few weeks of Sixth Form. Students who achieve </w:t>
      </w:r>
      <w:r w:rsidR="00C319A3" w:rsidRPr="000E60FE">
        <w:rPr>
          <w:rFonts w:asciiTheme="minorHAnsi" w:hAnsiTheme="minorHAnsi"/>
          <w:bCs/>
          <w:sz w:val="24"/>
          <w:szCs w:val="24"/>
          <w14:ligatures w14:val="none"/>
        </w:rPr>
        <w:t>a grade 5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or more</w:t>
      </w:r>
      <w:r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in the November exam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>s</w:t>
      </w:r>
      <w:r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can stop attending lessons once they receive their result. Th</w:t>
      </w:r>
      <w:r w:rsidR="00FF33EC" w:rsidRPr="000E60FE">
        <w:rPr>
          <w:rFonts w:asciiTheme="minorHAnsi" w:hAnsiTheme="minorHAnsi"/>
          <w:bCs/>
          <w:sz w:val="24"/>
          <w:szCs w:val="24"/>
          <w14:ligatures w14:val="none"/>
        </w:rPr>
        <w:t>is is usually in the spring</w:t>
      </w:r>
      <w:r w:rsidRPr="000E60FE">
        <w:rPr>
          <w:rFonts w:asciiTheme="minorHAnsi" w:hAnsiTheme="minorHAnsi"/>
          <w:bCs/>
          <w:sz w:val="24"/>
          <w:szCs w:val="24"/>
          <w14:ligatures w14:val="none"/>
        </w:rPr>
        <w:t xml:space="preserve"> of Year 12.</w:t>
      </w:r>
    </w:p>
    <w:p w14:paraId="0E733D68" w14:textId="77777777" w:rsidR="00FF33EC" w:rsidRPr="000E60FE" w:rsidRDefault="00FF33EC" w:rsidP="000E60FE">
      <w:pPr>
        <w:spacing w:before="100" w:beforeAutospacing="1"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</w:p>
    <w:p w14:paraId="3AD4388A" w14:textId="77777777" w:rsidR="00AC69BF" w:rsidRPr="000E60FE" w:rsidRDefault="00DE7AC0" w:rsidP="000E60FE">
      <w:pPr>
        <w:spacing w:before="100" w:beforeAutospacing="1"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0E60FE">
        <w:rPr>
          <w:rFonts w:asciiTheme="minorHAnsi" w:hAnsiTheme="minorHAnsi" w:cs="Arial"/>
          <w:b/>
          <w:sz w:val="24"/>
          <w:szCs w:val="24"/>
        </w:rPr>
        <w:t xml:space="preserve">Future courses </w:t>
      </w:r>
      <w:r w:rsidR="00FF33EC" w:rsidRPr="000E60FE">
        <w:rPr>
          <w:rFonts w:asciiTheme="minorHAnsi" w:hAnsiTheme="minorHAnsi" w:cs="Arial"/>
          <w:b/>
          <w:sz w:val="24"/>
          <w:szCs w:val="24"/>
        </w:rPr>
        <w:t>and careers</w:t>
      </w:r>
    </w:p>
    <w:p w14:paraId="5B6D533D" w14:textId="7A89C97D" w:rsidR="007944AF" w:rsidRPr="000E60FE" w:rsidRDefault="00FF33EC" w:rsidP="000E60FE">
      <w:pPr>
        <w:spacing w:before="100" w:beforeAutospacing="1"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Gaining the best GCSE </w:t>
      </w:r>
      <w:r w:rsidR="00C319A3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Maths grade is very important for your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future. Currently lots of employers ask for a minimum grade C in GCSE Maths. In the future </w:t>
      </w:r>
      <w:r w:rsidR="00C319A3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we expect this to</w:t>
      </w:r>
      <w:r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C319A3" w:rsidRPr="000E60FE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become a minimum of a grade 5, which is the equivalent of a high grade C / low grade B.</w:t>
      </w:r>
    </w:p>
    <w:p w14:paraId="5B6D533E" w14:textId="77777777" w:rsidR="002D03A8" w:rsidRPr="000E60FE" w:rsidRDefault="002D03A8" w:rsidP="000E60FE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sectPr w:rsidR="002D03A8" w:rsidRPr="000E60FE" w:rsidSect="002D03A8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916D" w14:textId="77777777" w:rsidR="007409F7" w:rsidRDefault="007409F7" w:rsidP="007513CC">
      <w:pPr>
        <w:spacing w:after="0" w:line="240" w:lineRule="auto"/>
      </w:pPr>
      <w:r>
        <w:separator/>
      </w:r>
    </w:p>
  </w:endnote>
  <w:endnote w:type="continuationSeparator" w:id="0">
    <w:p w14:paraId="0FD14520" w14:textId="77777777" w:rsidR="007409F7" w:rsidRDefault="007409F7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8BC1" w14:textId="77777777" w:rsidR="007409F7" w:rsidRDefault="007409F7" w:rsidP="007513CC">
      <w:pPr>
        <w:spacing w:after="0" w:line="240" w:lineRule="auto"/>
      </w:pPr>
      <w:r>
        <w:separator/>
      </w:r>
    </w:p>
  </w:footnote>
  <w:footnote w:type="continuationSeparator" w:id="0">
    <w:p w14:paraId="3EE7CCEE" w14:textId="77777777" w:rsidR="007409F7" w:rsidRDefault="007409F7" w:rsidP="0075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EB2"/>
    <w:multiLevelType w:val="hybridMultilevel"/>
    <w:tmpl w:val="9BF694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BE0D63"/>
    <w:multiLevelType w:val="hybridMultilevel"/>
    <w:tmpl w:val="7786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7D43"/>
    <w:multiLevelType w:val="hybridMultilevel"/>
    <w:tmpl w:val="314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62FC"/>
    <w:multiLevelType w:val="multilevel"/>
    <w:tmpl w:val="7902AA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055F20"/>
    <w:rsid w:val="000E60FE"/>
    <w:rsid w:val="00154FEF"/>
    <w:rsid w:val="0023125C"/>
    <w:rsid w:val="002914D1"/>
    <w:rsid w:val="002A7CAC"/>
    <w:rsid w:val="002D03A8"/>
    <w:rsid w:val="002E642C"/>
    <w:rsid w:val="00343616"/>
    <w:rsid w:val="003658D0"/>
    <w:rsid w:val="003909F3"/>
    <w:rsid w:val="003A6470"/>
    <w:rsid w:val="00456428"/>
    <w:rsid w:val="004A2CAB"/>
    <w:rsid w:val="00521232"/>
    <w:rsid w:val="00577D52"/>
    <w:rsid w:val="006D25A6"/>
    <w:rsid w:val="00737584"/>
    <w:rsid w:val="007409F7"/>
    <w:rsid w:val="007513CC"/>
    <w:rsid w:val="00770394"/>
    <w:rsid w:val="007944AF"/>
    <w:rsid w:val="0086291A"/>
    <w:rsid w:val="0087431D"/>
    <w:rsid w:val="00982FEE"/>
    <w:rsid w:val="00A031E8"/>
    <w:rsid w:val="00AC69BF"/>
    <w:rsid w:val="00B43F00"/>
    <w:rsid w:val="00B641F0"/>
    <w:rsid w:val="00C319A3"/>
    <w:rsid w:val="00C34C86"/>
    <w:rsid w:val="00CA5B36"/>
    <w:rsid w:val="00DE7AC0"/>
    <w:rsid w:val="00E1454A"/>
    <w:rsid w:val="00E35EC9"/>
    <w:rsid w:val="00F669B1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531B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E35EC9"/>
    <w:pPr>
      <w:autoSpaceDN w:val="0"/>
      <w:spacing w:after="200" w:line="276" w:lineRule="auto"/>
      <w:ind w:left="720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CDA89A8870A449D34A49C218D1D24" ma:contentTypeVersion="0" ma:contentTypeDescription="Create a new document." ma:contentTypeScope="" ma:versionID="9a62a706f3f7bfa64c5db085369a0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19F7-F2DD-4AB4-8E62-1E44BB969079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EC18F-CB91-4D96-AC3E-DE9DD2B03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0B240-EB5A-4775-BE0A-833E1CF01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DF2E4-34D3-405D-8116-94B1609E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6</cp:revision>
  <cp:lastPrinted>2016-12-05T11:09:00Z</cp:lastPrinted>
  <dcterms:created xsi:type="dcterms:W3CDTF">2016-12-05T11:14:00Z</dcterms:created>
  <dcterms:modified xsi:type="dcterms:W3CDTF">2016-12-16T13:48:00Z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0x010100484CDA89A8870A449D34A49C218D1D24</vt:lpwstr>
  </property>
</Properties>
</file>