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CF" w:rsidRDefault="00D55ACF" w:rsidP="00D55AC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GCSE Maths</w:t>
      </w:r>
    </w:p>
    <w:p w:rsidR="00D55ACF" w:rsidRDefault="00D55ACF" w:rsidP="00D55A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Edexcel Mathematics 9-1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7A301B">
              <w:rPr>
                <w:rFonts w:ascii="Arial" w:hAnsi="Arial" w:cs="Arial"/>
                <w:sz w:val="20"/>
                <w:szCs w:val="20"/>
              </w:rPr>
              <w:t>in Mathematics study either towards the Higher or Foundation tier. Students should be aware of what they are aiming towards</w:t>
            </w:r>
            <w:r w:rsidR="009E1A76">
              <w:rPr>
                <w:rFonts w:ascii="Arial" w:hAnsi="Arial" w:cs="Arial"/>
                <w:sz w:val="20"/>
                <w:szCs w:val="20"/>
              </w:rPr>
              <w:t>, but there is flexibility throughout years 10 and 11 to suit your daughter’s needs.</w:t>
            </w:r>
          </w:p>
          <w:p w:rsidR="009E1A76" w:rsidRDefault="009E1A76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 have three bands: Foundation, Higher and Higher Extended. Higher Extended students are working towards the Higher GCSE, as well as the Further Maths GCSE. This is not an option students can select; it is done within their normal Maths lessons on top of the core syllabus.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Exam Details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GCSE Maths is assessed 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by a terminal exam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 papers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) at the end of Year 11: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non-calculator and two calculator exams, </w:t>
            </w:r>
            <w:r w:rsidR="009E1A76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hour 30 minutes.</w:t>
            </w:r>
          </w:p>
        </w:tc>
      </w:tr>
      <w:tr w:rsidR="00D55ACF" w:rsidTr="006214BD">
        <w:trPr>
          <w:trHeight w:val="667"/>
        </w:trPr>
        <w:tc>
          <w:tcPr>
            <w:tcW w:w="1980" w:type="dxa"/>
          </w:tcPr>
          <w:p w:rsidR="00D55ACF" w:rsidRDefault="00D55ACF" w:rsidP="006214BD">
            <w:pPr>
              <w:widowControl w:val="0"/>
              <w:spacing w:before="120" w:after="1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support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8" w:type="dxa"/>
            <w:hideMark/>
          </w:tcPr>
          <w:p w:rsidR="00D55ACF" w:rsidRDefault="009E1A76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a supportive department, and students are welcome and encouraged to seek out or email their teachers if they need help with any topics, a homework, or just generally need additional support in Mathematics. W</w:t>
            </w:r>
            <w:r w:rsidR="00D55ACF">
              <w:rPr>
                <w:rFonts w:ascii="Arial" w:hAnsi="Arial" w:cs="Arial"/>
                <w:sz w:val="20"/>
                <w:szCs w:val="20"/>
              </w:rPr>
              <w:t xml:space="preserve">e will endeavour to run </w:t>
            </w:r>
            <w:r>
              <w:rPr>
                <w:rFonts w:ascii="Arial" w:hAnsi="Arial" w:cs="Arial"/>
                <w:sz w:val="20"/>
                <w:szCs w:val="20"/>
              </w:rPr>
              <w:t>our weekly Wednesday afterschool drop-in session this year.</w:t>
            </w:r>
            <w:r w:rsidR="00D55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648" w:type="dxa"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Students should complete the syllabus by February of Year 11, if not before. Students will </w:t>
            </w:r>
            <w:r w:rsidR="00127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 revision work in class/for homework in the run up to the March mock and final exams.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should be creating flash cards and glossaries with formulae that they need to know for the exams, and spend 5 minutes daily going through these.</w:t>
            </w:r>
          </w:p>
          <w:p w:rsidR="00D55ACF" w:rsidRPr="00C11ABD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Revision guides, such as Pearson Edexcel or CGP, are exceptionally useful. We have some Foundation revision guides available for purchase currently in the school; please speak to your teacher for details. </w:t>
            </w:r>
            <w:r w:rsidR="00F75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are also recommended to use the useful websites (below) for their revision.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Websites</w:t>
            </w:r>
          </w:p>
        </w:tc>
        <w:tc>
          <w:tcPr>
            <w:tcW w:w="7648" w:type="dxa"/>
            <w:hideMark/>
          </w:tcPr>
          <w:p w:rsidR="00D55ACF" w:rsidRPr="0008435F" w:rsidRDefault="00A8446A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" w:history="1">
              <w:r w:rsidR="00D55ACF" w:rsidRPr="0008435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www.vle.mathswatch.co.uk/</w:t>
              </w:r>
            </w:hyperlink>
          </w:p>
          <w:p w:rsidR="00D55ACF" w:rsidRPr="0008435F" w:rsidRDefault="00A8446A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55ACF" w:rsidRPr="0008435F">
                <w:rPr>
                  <w:rStyle w:val="Hyperlink"/>
                  <w:rFonts w:ascii="Arial" w:hAnsi="Arial" w:cs="Arial"/>
                  <w:sz w:val="20"/>
                  <w:szCs w:val="20"/>
                </w:rPr>
                <w:t>www.corbettmaths.com</w:t>
              </w:r>
            </w:hyperlink>
          </w:p>
          <w:p w:rsidR="00D55ACF" w:rsidRDefault="00A8446A" w:rsidP="006214BD">
            <w:pPr>
              <w:spacing w:before="120"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" w:history="1">
              <w:r w:rsidR="00D55ACF" w:rsidRPr="0008435F">
                <w:rPr>
                  <w:rStyle w:val="Hyperlink"/>
                  <w:rFonts w:ascii="Arial" w:hAnsi="Arial" w:cs="Arial"/>
                  <w:sz w:val="20"/>
                  <w:szCs w:val="20"/>
                </w:rPr>
                <w:t>www.mathsgenie.co.uk</w:t>
              </w:r>
            </w:hyperlink>
          </w:p>
          <w:p w:rsidR="00D55ACF" w:rsidRDefault="00A8446A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F750D0" w:rsidRPr="00074D0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www.mathsbot.com</w:t>
              </w:r>
            </w:hyperlink>
            <w:r w:rsidR="00F750D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D55ACF" w:rsidRDefault="00A8446A" w:rsidP="006214BD">
            <w:pPr>
              <w:spacing w:before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F750D0" w:rsidRPr="00074D0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https://www.onmaths.com/</w:t>
              </w:r>
            </w:hyperlink>
            <w:r w:rsidR="00F75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750D0" w:rsidRPr="00F750D0" w:rsidRDefault="00F750D0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0A4493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VLE Maths page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CF" w:rsidTr="006214BD">
        <w:trPr>
          <w:trHeight w:val="740"/>
        </w:trPr>
        <w:tc>
          <w:tcPr>
            <w:tcW w:w="1980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your daughter to do a little bit of maths every day.</w:t>
            </w:r>
          </w:p>
          <w:p w:rsidR="00D55ACF" w:rsidRDefault="00F750D0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D55ACF">
              <w:rPr>
                <w:rFonts w:ascii="Arial" w:hAnsi="Arial" w:cs="Arial"/>
                <w:sz w:val="20"/>
                <w:szCs w:val="20"/>
              </w:rPr>
              <w:t xml:space="preserve"> revision guides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purchased and used</w:t>
            </w:r>
            <w:r w:rsidR="00D55A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sure your daughter is fully equipped for all lessons and exams (pen, pencil, calculator, ruler, rubber, pair of compasses and a protractor). </w:t>
            </w:r>
          </w:p>
        </w:tc>
      </w:tr>
      <w:tr w:rsidR="00D55ACF" w:rsidTr="006214BD">
        <w:trPr>
          <w:trHeight w:val="1222"/>
        </w:trPr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succeed in this subject?</w:t>
            </w:r>
          </w:p>
        </w:tc>
        <w:tc>
          <w:tcPr>
            <w:tcW w:w="7648" w:type="dxa"/>
            <w:hideMark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 pro-actively: you will not succeed just reading notes! Go through your book, do practice questions, then past papers.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Seek help in class with the topics that you find difficult.</w:t>
            </w:r>
          </w:p>
        </w:tc>
      </w:tr>
      <w:tr w:rsidR="00D55ACF" w:rsidTr="006214BD">
        <w:tc>
          <w:tcPr>
            <w:tcW w:w="1980" w:type="dxa"/>
            <w:hideMark/>
          </w:tcPr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your daughter need to do to excel in this subject?</w:t>
            </w:r>
          </w:p>
        </w:tc>
        <w:tc>
          <w:tcPr>
            <w:tcW w:w="7648" w:type="dxa"/>
          </w:tcPr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Seek help in and out of class with the topics that you find difficult. 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Ask questions.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 some Maths revision daily</w:t>
            </w:r>
          </w:p>
          <w:p w:rsidR="00D55ACF" w:rsidRDefault="00D55ACF" w:rsidP="006214BD">
            <w:pPr>
              <w:spacing w:before="12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 resilient and have a positive attitude</w:t>
            </w:r>
            <w:r w:rsidR="00F750D0">
              <w:rPr>
                <w:rFonts w:ascii="Arial" w:eastAsia="Times New Roman" w:hAnsi="Arial" w:cs="Arial"/>
                <w:sz w:val="20"/>
                <w:szCs w:val="20"/>
              </w:rPr>
              <w:t xml:space="preserve"> – always have a go; not getting it right first time can be a great learning curve in Maths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D55ACF" w:rsidRDefault="00D55ACF" w:rsidP="006214BD">
            <w:pPr>
              <w:widowControl w:val="0"/>
              <w:spacing w:before="120" w:line="276" w:lineRule="auto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Practise, practise, practise!</w:t>
            </w:r>
          </w:p>
        </w:tc>
      </w:tr>
    </w:tbl>
    <w:p w:rsidR="006A1F38" w:rsidRDefault="00A8446A"/>
    <w:sectPr w:rsidR="006A1F38" w:rsidSect="00D5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CF"/>
    <w:rsid w:val="00127816"/>
    <w:rsid w:val="007A301B"/>
    <w:rsid w:val="009E1A76"/>
    <w:rsid w:val="00A8446A"/>
    <w:rsid w:val="00BC3EDF"/>
    <w:rsid w:val="00CE46A8"/>
    <w:rsid w:val="00D55ACF"/>
    <w:rsid w:val="00F11475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100B0-4FDF-42AF-9C62-207A180A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C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math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sb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genie.co.uk" TargetMode="External"/><Relationship Id="rId5" Type="http://schemas.openxmlformats.org/officeDocument/2006/relationships/hyperlink" Target="http://www.corbettmath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le.mathswatch.co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D. Kincaid</cp:lastModifiedBy>
  <cp:revision>2</cp:revision>
  <dcterms:created xsi:type="dcterms:W3CDTF">2021-09-20T13:51:00Z</dcterms:created>
  <dcterms:modified xsi:type="dcterms:W3CDTF">2021-09-20T13:51:00Z</dcterms:modified>
</cp:coreProperties>
</file>